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0" w:rsidRDefault="005C6BAF">
      <w:pPr>
        <w:pStyle w:val="nazev"/>
      </w:pPr>
      <w:r>
        <w:t>PRAVIDLA PRO HABILITAČNÍ ŘÍZENÍ</w:t>
      </w:r>
      <w:r>
        <w:br/>
        <w:t>A ŘÍZENÍ KE JMENOVÁNÍ PROFESOREM</w:t>
      </w:r>
      <w:r>
        <w:br/>
        <w:t>NA MATEMATICKO-FYZIKÁLNÍ FAKULTĚ</w:t>
      </w:r>
      <w:r>
        <w:br/>
        <w:t>UNIVERZITY KARLOVY</w:t>
      </w:r>
    </w:p>
    <w:p w:rsidR="00D72C50" w:rsidRDefault="005C6BAF">
      <w:pPr>
        <w:pStyle w:val="Default"/>
        <w:spacing w:before="283" w:line="276" w:lineRule="auto"/>
        <w:jc w:val="center"/>
        <w:rPr>
          <w:lang w:val="cs-CZ"/>
        </w:rPr>
      </w:pPr>
      <w:r>
        <w:rPr>
          <w:lang w:val="cs-CZ"/>
        </w:rPr>
        <w:t>ze dne 14. června 2017</w:t>
      </w:r>
    </w:p>
    <w:p w:rsidR="00D72C50" w:rsidRDefault="005C6BAF">
      <w:pPr>
        <w:pStyle w:val="Default"/>
        <w:spacing w:before="340" w:after="454" w:line="276" w:lineRule="auto"/>
        <w:jc w:val="both"/>
        <w:rPr>
          <w:lang w:val="cs-CZ"/>
        </w:rPr>
      </w:pPr>
      <w:r>
        <w:rPr>
          <w:rFonts w:eastAsia="Times New Roman" w:cs="Times New Roman"/>
          <w:i/>
          <w:iCs/>
          <w:lang w:val="cs-CZ" w:eastAsia="cs-CZ"/>
        </w:rPr>
        <w:t xml:space="preserve">Akademický senát Matematicko-fyzikální fakulty Univerzity Karlovy se podle § 27 odst. 1 písm. b) a § 33 odst. 2 </w:t>
      </w:r>
      <w:r>
        <w:rPr>
          <w:rFonts w:eastAsia="Times New Roman" w:cs="Times New Roman"/>
          <w:i/>
          <w:iCs/>
          <w:lang w:val="cs-CZ" w:eastAsia="cs-CZ"/>
        </w:rPr>
        <w:t>písm. f) zákona č. 111/1998 Sb., o vysokých školách a o změně a doplnění dalších zákonů (zákon o vysokých školách), ve znění pozdějších předpisů, a podle čl. 20 odst. 2 písm. j) Statutu Matematicko-fyzikální fakulty Univerzity Karlovy usnesl na těchto Prav</w:t>
      </w:r>
      <w:r>
        <w:rPr>
          <w:rFonts w:eastAsia="Times New Roman" w:cs="Times New Roman"/>
          <w:i/>
          <w:iCs/>
          <w:lang w:val="cs-CZ" w:eastAsia="cs-CZ"/>
        </w:rPr>
        <w:t>idlech pro habilitační řízení a řízení ke jmenování profesorem na Matematicko-fyzikální fakultě Univerzity Karlovy, jako jejím vnitřním předpisu:</w:t>
      </w:r>
    </w:p>
    <w:p w:rsidR="00D72C50" w:rsidRDefault="005C6BAF">
      <w:pPr>
        <w:pStyle w:val="clanek"/>
        <w:rPr>
          <w:lang w:val="cs-CZ"/>
        </w:rPr>
      </w:pPr>
      <w:r>
        <w:rPr>
          <w:lang w:val="cs-CZ"/>
        </w:rPr>
        <w:t>Čl. 1</w:t>
      </w:r>
      <w:r>
        <w:rPr>
          <w:lang w:val="cs-CZ"/>
        </w:rPr>
        <w:br/>
        <w:t>Základní ustanovení</w:t>
      </w:r>
    </w:p>
    <w:p w:rsidR="00D72C50" w:rsidRDefault="005C6BAF">
      <w:p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Habilitační řízení a řízení ke jmenování profesorem na Matematicko-fyzikální fakultě</w:t>
      </w:r>
      <w:r>
        <w:rPr>
          <w:rFonts w:ascii="Times New Roman" w:hAnsi="Times New Roman" w:cs="Times New Roman"/>
          <w:lang w:val="cs-CZ" w:eastAsia="cs-CZ"/>
        </w:rPr>
        <w:t xml:space="preserve"> Univerzity Karlovy (dále jen „fakulta“) se řídí § 72 a § 74 zákona č. 111/1998 Sb., ve znění pozdějších předpisů, a Řádem habilitačního řízení a řízení ke jmenování profesorem Univerzity Karlovy (dále jen „Řád“).</w:t>
      </w:r>
    </w:p>
    <w:p w:rsidR="00D72C50" w:rsidRDefault="005C6BAF">
      <w:pPr>
        <w:pStyle w:val="clanek"/>
        <w:rPr>
          <w:lang w:val="cs-CZ"/>
        </w:rPr>
      </w:pPr>
      <w:r>
        <w:rPr>
          <w:lang w:val="cs-CZ"/>
        </w:rPr>
        <w:t>Čl. 2</w:t>
      </w:r>
      <w:r>
        <w:rPr>
          <w:lang w:val="cs-CZ"/>
        </w:rPr>
        <w:br/>
        <w:t>Habilitační řízení</w:t>
      </w:r>
    </w:p>
    <w:p w:rsidR="00D72C50" w:rsidRDefault="005C6BAF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Habilitační řízen</w:t>
      </w:r>
      <w:r>
        <w:rPr>
          <w:rFonts w:ascii="Times New Roman" w:hAnsi="Times New Roman" w:cs="Times New Roman"/>
          <w:lang w:val="cs-CZ" w:eastAsia="cs-CZ"/>
        </w:rPr>
        <w:t>í je zahájeno podáním návrhu uchazeče a probíhá na fakultě za podpory chráněného elektronického systému CHRES provozovaného Ústavem výpočetní techniky Univerzity Karlovy (dále jen „univerzita“).</w:t>
      </w:r>
    </w:p>
    <w:p w:rsidR="00D72C50" w:rsidRDefault="005C6BAF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Spolu s návrhem předloží uchazeč svoji habilitační práci v li</w:t>
      </w:r>
      <w:r>
        <w:rPr>
          <w:rFonts w:ascii="Times New Roman" w:hAnsi="Times New Roman" w:cs="Times New Roman"/>
          <w:lang w:val="cs-CZ" w:eastAsia="cs-CZ"/>
        </w:rPr>
        <w:t>stinné podobě a současně také její obsahově totožnou elektronickou podobu.</w:t>
      </w:r>
    </w:p>
    <w:p w:rsidR="00D72C50" w:rsidRDefault="005C6BAF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 xml:space="preserve">Habilitační komise může v souladu s čl. 3 odst. 5 Řádu hlasovat elektronicky. V tom případě použije k tajnému elektronickému hlasování chráněný elektronický systém CHRES. Hlasování </w:t>
      </w:r>
      <w:r>
        <w:rPr>
          <w:rFonts w:ascii="Times New Roman" w:hAnsi="Times New Roman" w:cs="Times New Roman"/>
          <w:lang w:val="cs-CZ" w:eastAsia="cs-CZ"/>
        </w:rPr>
        <w:t>je platné, zúčastní-li se ho alespoň čtyři členové habilitační komise, a usnesení je přijato, pokud se pro něj vyslovili alespoň tři členové habilitační komise.</w:t>
      </w:r>
    </w:p>
    <w:p w:rsidR="00D72C50" w:rsidRDefault="005C6BAF">
      <w:pPr>
        <w:pStyle w:val="clanek"/>
        <w:rPr>
          <w:lang w:val="cs-CZ"/>
        </w:rPr>
      </w:pPr>
      <w:r>
        <w:rPr>
          <w:lang w:val="cs-CZ"/>
        </w:rPr>
        <w:t>Čl. 3</w:t>
      </w:r>
      <w:r>
        <w:rPr>
          <w:lang w:val="cs-CZ"/>
        </w:rPr>
        <w:br/>
        <w:t>Řízení ke jmenování profesorem</w:t>
      </w:r>
    </w:p>
    <w:p w:rsidR="00D72C50" w:rsidRDefault="005C6BAF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 xml:space="preserve">Řízení ke jmenování profesorem je zahájeno podáním návrhu </w:t>
      </w:r>
      <w:r>
        <w:rPr>
          <w:rFonts w:ascii="Times New Roman" w:hAnsi="Times New Roman" w:cs="Times New Roman"/>
          <w:lang w:val="cs-CZ" w:eastAsia="cs-CZ"/>
        </w:rPr>
        <w:t>uchazeče, podáním návrhu děkana, rektora, nebo z vlastního podnětu vědecké rady fakulty.</w:t>
      </w:r>
    </w:p>
    <w:p w:rsidR="00D72C50" w:rsidRDefault="005C6BAF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Návrh uchazeče musí být podpořen alespoň dvěma písemnými doporučeními profesorů téhož nebo příbuzného vědního oboru.</w:t>
      </w:r>
    </w:p>
    <w:p w:rsidR="00D72C50" w:rsidRDefault="005C6BAF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lastRenderedPageBreak/>
        <w:t>Důvodem pro zahájení řízení ke jmenování profesore</w:t>
      </w:r>
      <w:r>
        <w:rPr>
          <w:rFonts w:ascii="Times New Roman" w:hAnsi="Times New Roman" w:cs="Times New Roman"/>
          <w:lang w:val="cs-CZ" w:eastAsia="cs-CZ"/>
        </w:rPr>
        <w:t>m na návrh děkana mohou být mimořádná mezinárodní ocenění navrhované osoby (například udělení grantu Evropské výzkumné rady).</w:t>
      </w:r>
    </w:p>
    <w:p w:rsidR="00D72C50" w:rsidRDefault="005C6BAF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Řízení ke jmenování profesorem probíhá na fakultě za podpory chráněného elektronického systému CHRES provozovaného Ústavem výpočet</w:t>
      </w:r>
      <w:r>
        <w:rPr>
          <w:rFonts w:ascii="Times New Roman" w:hAnsi="Times New Roman" w:cs="Times New Roman"/>
          <w:lang w:val="cs-CZ" w:eastAsia="cs-CZ"/>
        </w:rPr>
        <w:t>ní techniky univerzity.</w:t>
      </w:r>
    </w:p>
    <w:p w:rsidR="00D72C50" w:rsidRDefault="005C6BAF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Komise ustavená pro posouzení kvalifikace uchazeče může v souladu s čl. 12 odst. 4 Řádu hlasovat elektronicky. V tom případě použije k tajnému elektronickému hlasování chráněný elektronický systém CHRES. Hlasování je platné, zúčastn</w:t>
      </w:r>
      <w:r>
        <w:rPr>
          <w:rFonts w:ascii="Times New Roman" w:hAnsi="Times New Roman" w:cs="Times New Roman"/>
          <w:lang w:val="cs-CZ" w:eastAsia="cs-CZ"/>
        </w:rPr>
        <w:t>í-li se ho alespoň čtyři členové komise, a usnesení je přijato, pokud se pro něj vyslovili alespoň tři členové komise.</w:t>
      </w:r>
    </w:p>
    <w:p w:rsidR="00D72C50" w:rsidRDefault="005C6BAF">
      <w:pPr>
        <w:pStyle w:val="clanek"/>
        <w:rPr>
          <w:lang w:val="cs-CZ"/>
        </w:rPr>
      </w:pPr>
      <w:r>
        <w:rPr>
          <w:lang w:val="cs-CZ"/>
        </w:rPr>
        <w:t>Čl. 4</w:t>
      </w:r>
      <w:r>
        <w:rPr>
          <w:lang w:val="cs-CZ"/>
        </w:rPr>
        <w:br/>
        <w:t>Závěrečná ustanovení</w:t>
      </w:r>
    </w:p>
    <w:p w:rsidR="00D72C50" w:rsidRDefault="005C6BAF">
      <w:pPr>
        <w:numPr>
          <w:ilvl w:val="0"/>
          <w:numId w:val="3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Tento předpis byl projednán vědeckou radou dne 3. května 2017.</w:t>
      </w:r>
    </w:p>
    <w:p w:rsidR="00D72C50" w:rsidRDefault="005C6BAF">
      <w:pPr>
        <w:numPr>
          <w:ilvl w:val="0"/>
          <w:numId w:val="3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 xml:space="preserve">Tento předpis byl schválen akademickým senátem </w:t>
      </w:r>
      <w:r>
        <w:rPr>
          <w:rFonts w:ascii="Times New Roman" w:hAnsi="Times New Roman" w:cs="Times New Roman"/>
          <w:lang w:val="cs-CZ" w:eastAsia="cs-CZ"/>
        </w:rPr>
        <w:t>fakulty dne 14. června 2017.</w:t>
      </w:r>
    </w:p>
    <w:p w:rsidR="00D72C50" w:rsidRDefault="005C6BAF">
      <w:pPr>
        <w:numPr>
          <w:ilvl w:val="0"/>
          <w:numId w:val="3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Tento předpis nabývá platnosti dnem schválení akademickým senátem univerzity.</w:t>
      </w:r>
      <w:r>
        <w:rPr>
          <w:rStyle w:val="FootnoteAnchor"/>
          <w:rFonts w:ascii="Times New Roman" w:hAnsi="Times New Roman" w:cs="Times New Roman"/>
          <w:lang w:val="cs-CZ" w:eastAsia="cs-CZ"/>
        </w:rPr>
        <w:footnoteReference w:id="1"/>
      </w:r>
      <w:r>
        <w:rPr>
          <w:rFonts w:ascii="Times New Roman" w:hAnsi="Times New Roman" w:cs="Times New Roman"/>
          <w:vertAlign w:val="superscript"/>
          <w:lang w:val="cs-CZ" w:eastAsia="cs-CZ"/>
        </w:rPr>
        <w:t>)</w:t>
      </w:r>
    </w:p>
    <w:p w:rsidR="00D72C50" w:rsidRDefault="005C6BAF">
      <w:pPr>
        <w:numPr>
          <w:ilvl w:val="0"/>
          <w:numId w:val="3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Tento předpis nabývá účinnosti 1. října 2017.</w:t>
      </w:r>
    </w:p>
    <w:tbl>
      <w:tblPr>
        <w:tblW w:w="8702" w:type="dxa"/>
        <w:tblInd w:w="360" w:type="dxa"/>
        <w:tblLook w:val="0000" w:firstRow="0" w:lastRow="0" w:firstColumn="0" w:lastColumn="0" w:noHBand="0" w:noVBand="0"/>
      </w:tblPr>
      <w:tblGrid>
        <w:gridCol w:w="4386"/>
        <w:gridCol w:w="4316"/>
      </w:tblGrid>
      <w:tr w:rsidR="00D72C50">
        <w:tc>
          <w:tcPr>
            <w:tcW w:w="4385" w:type="dxa"/>
            <w:shd w:val="clear" w:color="auto" w:fill="auto"/>
          </w:tcPr>
          <w:p w:rsidR="00D72C50" w:rsidRDefault="00D72C50">
            <w:pPr>
              <w:jc w:val="center"/>
              <w:rPr>
                <w:rFonts w:ascii="Times New Roman" w:hAnsi="Times New Roman" w:cs="Times New Roman"/>
                <w:i/>
                <w:lang w:val="cs-CZ" w:eastAsia="cs-CZ"/>
              </w:rPr>
            </w:pPr>
          </w:p>
          <w:p w:rsidR="00D72C50" w:rsidRDefault="005C6BAF">
            <w:pPr>
              <w:jc w:val="center"/>
              <w:rPr>
                <w:rFonts w:hint="eastAsia"/>
                <w:lang w:val="cs-CZ"/>
              </w:rPr>
            </w:pPr>
            <w:r>
              <w:rPr>
                <w:rFonts w:ascii="Times New Roman" w:hAnsi="Times New Roman" w:cs="Times New Roman"/>
                <w:i/>
                <w:lang w:val="cs-CZ" w:eastAsia="cs-CZ"/>
              </w:rPr>
              <w:t>Doc. RNDr. Zdeněk Drozd, Ph.D.</w:t>
            </w:r>
            <w:r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</w:p>
          <w:p w:rsidR="00D72C50" w:rsidRDefault="005C6BAF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val="cs-CZ" w:eastAsia="cs-CZ"/>
              </w:rPr>
              <w:t>předseda akademického senátu</w:t>
            </w:r>
          </w:p>
        </w:tc>
        <w:tc>
          <w:tcPr>
            <w:tcW w:w="4316" w:type="dxa"/>
            <w:shd w:val="clear" w:color="auto" w:fill="auto"/>
          </w:tcPr>
          <w:p w:rsidR="00D72C50" w:rsidRDefault="00D72C50">
            <w:pPr>
              <w:jc w:val="center"/>
              <w:rPr>
                <w:rFonts w:ascii="Times New Roman" w:hAnsi="Times New Roman" w:cs="Times New Roman"/>
                <w:i/>
                <w:lang w:val="cs-CZ" w:eastAsia="cs-CZ"/>
              </w:rPr>
            </w:pPr>
          </w:p>
          <w:p w:rsidR="00D72C50" w:rsidRDefault="005C6BAF">
            <w:pPr>
              <w:jc w:val="center"/>
              <w:rPr>
                <w:rFonts w:hint="eastAsia"/>
                <w:lang w:val="cs-CZ"/>
              </w:rPr>
            </w:pPr>
            <w:r>
              <w:rPr>
                <w:rFonts w:ascii="Times New Roman" w:hAnsi="Times New Roman" w:cs="Times New Roman"/>
                <w:i/>
                <w:lang w:val="cs-CZ" w:eastAsia="cs-CZ"/>
              </w:rPr>
              <w:t>Prof. RNDr. Jan Kratochvíl, CSc.</w:t>
            </w:r>
            <w:r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</w:p>
          <w:p w:rsidR="00D72C50" w:rsidRDefault="005C6BAF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val="cs-CZ" w:eastAsia="cs-CZ"/>
              </w:rPr>
              <w:t>děkan</w:t>
            </w:r>
          </w:p>
        </w:tc>
      </w:tr>
      <w:tr w:rsidR="00D72C50">
        <w:tc>
          <w:tcPr>
            <w:tcW w:w="8701" w:type="dxa"/>
            <w:gridSpan w:val="2"/>
            <w:shd w:val="clear" w:color="auto" w:fill="auto"/>
          </w:tcPr>
          <w:p w:rsidR="00D72C50" w:rsidRDefault="00D72C50">
            <w:pPr>
              <w:pStyle w:val="Seznam-seln0"/>
              <w:shd w:val="clear" w:color="auto" w:fill="FFFFFF"/>
              <w:snapToGrid w:val="0"/>
              <w:spacing w:after="0" w:line="312" w:lineRule="atLeast"/>
              <w:jc w:val="center"/>
              <w:rPr>
                <w:lang w:val="cs-CZ" w:eastAsia="cs-CZ"/>
              </w:rPr>
            </w:pPr>
          </w:p>
          <w:p w:rsidR="00D72C50" w:rsidRDefault="00D72C50">
            <w:pPr>
              <w:pStyle w:val="Seznam-seln0"/>
              <w:shd w:val="clear" w:color="auto" w:fill="FFFFFF"/>
              <w:spacing w:after="0" w:line="312" w:lineRule="atLeast"/>
              <w:jc w:val="center"/>
              <w:rPr>
                <w:lang w:val="cs-CZ" w:eastAsia="cs-CZ"/>
              </w:rPr>
            </w:pPr>
          </w:p>
          <w:p w:rsidR="00D72C50" w:rsidRDefault="005C6BAF">
            <w:pPr>
              <w:pStyle w:val="Seznam-seln0"/>
              <w:shd w:val="clear" w:color="auto" w:fill="FFFFFF"/>
              <w:spacing w:after="0" w:line="312" w:lineRule="atLeast"/>
              <w:jc w:val="center"/>
              <w:rPr>
                <w:i/>
              </w:rPr>
            </w:pPr>
            <w:r>
              <w:rPr>
                <w:i/>
                <w:lang w:val="cs-CZ"/>
              </w:rPr>
              <w:t xml:space="preserve">PhDr. Tomáš </w:t>
            </w:r>
            <w:proofErr w:type="spellStart"/>
            <w:r>
              <w:rPr>
                <w:i/>
                <w:lang w:val="cs-CZ"/>
              </w:rPr>
              <w:t>Nigrin</w:t>
            </w:r>
            <w:proofErr w:type="spellEnd"/>
            <w:r>
              <w:rPr>
                <w:i/>
                <w:lang w:val="cs-CZ"/>
              </w:rPr>
              <w:t>, Ph.D.</w:t>
            </w:r>
          </w:p>
          <w:p w:rsidR="00D72C50" w:rsidRDefault="005C6BA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val="cs-CZ" w:eastAsia="cs-CZ"/>
              </w:rPr>
              <w:t>předseda akademického senátu univerzity</w:t>
            </w:r>
          </w:p>
        </w:tc>
      </w:tr>
    </w:tbl>
    <w:p w:rsidR="00D72C50" w:rsidRDefault="00D72C50">
      <w:pPr>
        <w:rPr>
          <w:rFonts w:hint="eastAsia"/>
          <w:lang w:val="cs-CZ"/>
        </w:rPr>
      </w:pPr>
    </w:p>
    <w:sectPr w:rsidR="00D72C50">
      <w:footerReference w:type="default" r:id="rId8"/>
      <w:pgSz w:w="11906" w:h="16838"/>
      <w:pgMar w:top="1134" w:right="1134" w:bottom="1700" w:left="1134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AF" w:rsidRDefault="005C6BAF">
      <w:pPr>
        <w:rPr>
          <w:rFonts w:hint="eastAsia"/>
        </w:rPr>
      </w:pPr>
      <w:r>
        <w:separator/>
      </w:r>
    </w:p>
  </w:endnote>
  <w:endnote w:type="continuationSeparator" w:id="0">
    <w:p w:rsidR="005C6BAF" w:rsidRDefault="005C6B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50" w:rsidRDefault="005C6BAF">
    <w:pPr>
      <w:pStyle w:val="Zpat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6D5877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AF" w:rsidRDefault="005C6BAF">
      <w:pPr>
        <w:rPr>
          <w:rFonts w:hint="eastAsia"/>
        </w:rPr>
      </w:pPr>
      <w:r>
        <w:separator/>
      </w:r>
    </w:p>
  </w:footnote>
  <w:footnote w:type="continuationSeparator" w:id="0">
    <w:p w:rsidR="005C6BAF" w:rsidRDefault="005C6BAF">
      <w:pPr>
        <w:rPr>
          <w:rFonts w:hint="eastAsia"/>
        </w:rPr>
      </w:pPr>
      <w:r>
        <w:continuationSeparator/>
      </w:r>
    </w:p>
  </w:footnote>
  <w:footnote w:id="1">
    <w:p w:rsidR="00D72C50" w:rsidRDefault="005C6BAF">
      <w:pPr>
        <w:pStyle w:val="Textpoznpodarou"/>
        <w:rPr>
          <w:rFonts w:hint="eastAsia"/>
        </w:rPr>
      </w:pPr>
      <w:r>
        <w:rPr>
          <w:lang w:val="cs-CZ"/>
        </w:rPr>
        <w:footnoteRef/>
      </w:r>
      <w:bookmarkStart w:id="0" w:name="_GoBack"/>
      <w:bookmarkEnd w:id="0"/>
      <w:r>
        <w:rPr>
          <w:lang w:val="cs-CZ"/>
        </w:rPr>
        <w:t>) § 9 odst. 1 písm. b) bod 2. zákona o vysokých školách. Tento předpis</w:t>
      </w:r>
      <w:r>
        <w:rPr>
          <w:lang w:val="cs-CZ"/>
        </w:rPr>
        <w:t xml:space="preserve"> byl schválen Akademickým senátem Univerzity Karlovy dne 23. června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2E0"/>
    <w:multiLevelType w:val="multilevel"/>
    <w:tmpl w:val="0D1C58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763AF0"/>
    <w:multiLevelType w:val="multilevel"/>
    <w:tmpl w:val="ABAEA3D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5162646A"/>
    <w:multiLevelType w:val="multilevel"/>
    <w:tmpl w:val="0212AFC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72561853"/>
    <w:multiLevelType w:val="multilevel"/>
    <w:tmpl w:val="9BAA2FA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C50"/>
    <w:rsid w:val="005C6BAF"/>
    <w:rsid w:val="006D5877"/>
    <w:rsid w:val="00D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E4B"/>
    <w:rPr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mberingSymbols">
    <w:name w:val="Numbering Symbols"/>
    <w:uiPriority w:val="99"/>
    <w:qFormat/>
    <w:rsid w:val="00015E4B"/>
  </w:style>
  <w:style w:type="character" w:customStyle="1" w:styleId="SourceText">
    <w:name w:val="Source Text"/>
    <w:uiPriority w:val="99"/>
    <w:qFormat/>
    <w:rsid w:val="00015E4B"/>
    <w:rPr>
      <w:rFonts w:ascii="Liberation Mono" w:eastAsia="NSimSun" w:hAnsi="Liberation Mono"/>
    </w:rPr>
  </w:style>
  <w:style w:type="character" w:customStyle="1" w:styleId="WW8Num13z0">
    <w:name w:val="WW8Num13z0"/>
    <w:uiPriority w:val="99"/>
    <w:qFormat/>
    <w:rsid w:val="00015E4B"/>
    <w:rPr>
      <w:rFonts w:ascii="Times New Roman" w:hAnsi="Times New Roman"/>
      <w:sz w:val="24"/>
    </w:rPr>
  </w:style>
  <w:style w:type="character" w:customStyle="1" w:styleId="FootnoteAnchor">
    <w:name w:val="Footnote Anchor"/>
    <w:uiPriority w:val="99"/>
    <w:rsid w:val="00015E4B"/>
    <w:rPr>
      <w:vertAlign w:val="superscript"/>
    </w:rPr>
  </w:style>
  <w:style w:type="character" w:customStyle="1" w:styleId="FootnoteCharacters">
    <w:name w:val="Footnote Characters"/>
    <w:uiPriority w:val="99"/>
    <w:qFormat/>
    <w:rsid w:val="00015E4B"/>
  </w:style>
  <w:style w:type="character" w:customStyle="1" w:styleId="EndnoteAnchor">
    <w:name w:val="Endnote Anchor"/>
    <w:uiPriority w:val="99"/>
    <w:rsid w:val="00015E4B"/>
    <w:rPr>
      <w:vertAlign w:val="superscript"/>
    </w:rPr>
  </w:style>
  <w:style w:type="character" w:customStyle="1" w:styleId="EndnoteCharacters">
    <w:name w:val="Endnote Characters"/>
    <w:uiPriority w:val="99"/>
    <w:qFormat/>
    <w:rsid w:val="00015E4B"/>
  </w:style>
  <w:style w:type="character" w:customStyle="1" w:styleId="Bullets">
    <w:name w:val="Bullets"/>
    <w:uiPriority w:val="99"/>
    <w:qFormat/>
    <w:rsid w:val="00015E4B"/>
    <w:rPr>
      <w:rFonts w:ascii="OpenSymbol" w:hAnsi="OpenSymbo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4466FA"/>
    <w:rPr>
      <w:rFonts w:cs="Times New Roman"/>
      <w:sz w:val="21"/>
      <w:szCs w:val="21"/>
      <w:lang w:val="sk-SK"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4466FA"/>
    <w:rPr>
      <w:rFonts w:cs="Times New Roman"/>
      <w:sz w:val="21"/>
      <w:szCs w:val="21"/>
      <w:lang w:val="sk-SK" w:eastAsia="zh-CN" w:bidi="hi-IN"/>
    </w:rPr>
  </w:style>
  <w:style w:type="character" w:customStyle="1" w:styleId="FootnoteTextChar">
    <w:name w:val="Footnote Text Char"/>
    <w:basedOn w:val="Standardnpsmoodstavce"/>
    <w:link w:val="Textpoznpodarou"/>
    <w:uiPriority w:val="99"/>
    <w:semiHidden/>
    <w:qFormat/>
    <w:locked/>
    <w:rsid w:val="004466FA"/>
    <w:rPr>
      <w:rFonts w:cs="Times New Roman"/>
      <w:sz w:val="18"/>
      <w:szCs w:val="18"/>
      <w:lang w:val="sk-SK" w:eastAsia="zh-CN" w:bidi="hi-IN"/>
    </w:rPr>
  </w:style>
  <w:style w:type="character" w:styleId="Odkaznakoment">
    <w:name w:val="annotation reference"/>
    <w:basedOn w:val="Standardnpsmoodstavce"/>
    <w:uiPriority w:val="99"/>
    <w:semiHidden/>
    <w:qFormat/>
    <w:rsid w:val="00A43465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A43465"/>
    <w:rPr>
      <w:rFonts w:cs="Times New Roman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A43465"/>
    <w:rPr>
      <w:rFonts w:cs="Times New Roman"/>
      <w:b/>
      <w:bCs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A43465"/>
    <w:rPr>
      <w:rFonts w:ascii="Tahoma" w:hAnsi="Tahoma" w:cs="Times New Roman"/>
      <w:sz w:val="14"/>
      <w:szCs w:val="1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paragraph" w:customStyle="1" w:styleId="Heading">
    <w:name w:val="Heading"/>
    <w:basedOn w:val="Normln"/>
    <w:next w:val="Zkladntext"/>
    <w:uiPriority w:val="99"/>
    <w:qFormat/>
    <w:rsid w:val="00015E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15E4B"/>
    <w:pPr>
      <w:spacing w:after="140" w:line="288" w:lineRule="auto"/>
    </w:pPr>
  </w:style>
  <w:style w:type="paragraph" w:styleId="Seznam">
    <w:name w:val="List"/>
    <w:basedOn w:val="Zkladntext"/>
    <w:uiPriority w:val="99"/>
    <w:rsid w:val="00015E4B"/>
  </w:style>
  <w:style w:type="paragraph" w:styleId="Titulek">
    <w:name w:val="caption"/>
    <w:basedOn w:val="Normln"/>
    <w:uiPriority w:val="99"/>
    <w:qFormat/>
    <w:rsid w:val="00015E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qFormat/>
    <w:rsid w:val="00015E4B"/>
    <w:pPr>
      <w:suppressLineNumbers/>
    </w:pPr>
  </w:style>
  <w:style w:type="paragraph" w:customStyle="1" w:styleId="Default">
    <w:name w:val="Default"/>
    <w:uiPriority w:val="99"/>
    <w:qFormat/>
    <w:rsid w:val="00015E4B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sk-SK" w:eastAsia="zh-CN" w:bidi="hi-IN"/>
    </w:rPr>
  </w:style>
  <w:style w:type="paragraph" w:styleId="Zpat">
    <w:name w:val="footer"/>
    <w:basedOn w:val="Normln"/>
    <w:link w:val="ZpatChar"/>
    <w:uiPriority w:val="99"/>
    <w:rsid w:val="00015E4B"/>
  </w:style>
  <w:style w:type="paragraph" w:customStyle="1" w:styleId="clanek">
    <w:name w:val="clanek"/>
    <w:basedOn w:val="Normln"/>
    <w:next w:val="Normln"/>
    <w:uiPriority w:val="99"/>
    <w:qFormat/>
    <w:rsid w:val="00015E4B"/>
    <w:pPr>
      <w:keepNext/>
      <w:spacing w:before="397" w:after="283"/>
      <w:jc w:val="center"/>
    </w:pPr>
    <w:rPr>
      <w:rFonts w:ascii="Times New Roman" w:hAnsi="Times New Roman"/>
      <w:b/>
    </w:rPr>
  </w:style>
  <w:style w:type="paragraph" w:customStyle="1" w:styleId="Seznam-seln0">
    <w:name w:val="Seznam - číselný (0)"/>
    <w:basedOn w:val="Normln"/>
    <w:uiPriority w:val="99"/>
    <w:qFormat/>
    <w:rsid w:val="00015E4B"/>
    <w:pPr>
      <w:widowControl w:val="0"/>
      <w:spacing w:after="120" w:line="276" w:lineRule="auto"/>
      <w:jc w:val="both"/>
      <w:textAlignment w:val="baseline"/>
    </w:pPr>
    <w:rPr>
      <w:rFonts w:ascii="Times New Roman" w:hAnsi="Times New Roman" w:cs="Times New Roman"/>
    </w:rPr>
  </w:style>
  <w:style w:type="paragraph" w:styleId="Textpoznpodarou">
    <w:name w:val="footnote text"/>
    <w:basedOn w:val="Normln"/>
  </w:style>
  <w:style w:type="paragraph" w:customStyle="1" w:styleId="nazev">
    <w:name w:val="nazev"/>
    <w:basedOn w:val="Normln"/>
    <w:uiPriority w:val="99"/>
    <w:qFormat/>
    <w:rsid w:val="00015E4B"/>
    <w:pPr>
      <w:spacing w:after="170"/>
      <w:jc w:val="center"/>
    </w:pPr>
    <w:rPr>
      <w:rFonts w:ascii="Times New Roman" w:hAnsi="Times New Roman" w:cs="Times New Roman"/>
      <w:b/>
      <w:sz w:val="32"/>
      <w:szCs w:val="32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A43465"/>
    <w:rPr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A43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qFormat/>
    <w:rsid w:val="00A4346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2686</Characters>
  <Application>Microsoft Office Word</Application>
  <DocSecurity>0</DocSecurity>
  <Lines>22</Lines>
  <Paragraphs>6</Paragraphs>
  <ScaleCrop>false</ScaleCrop>
  <Company>Univerzita Karlova v Praze, Právnická Fakulta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HABILITAČNÍ ŘÍZENÍ</dc:title>
  <dc:subject/>
  <dc:creator>Peter Korcsok</dc:creator>
  <dc:description/>
  <cp:lastModifiedBy>Zdeněk Drozd</cp:lastModifiedBy>
  <cp:revision>7</cp:revision>
  <dcterms:created xsi:type="dcterms:W3CDTF">2017-06-12T21:57:00Z</dcterms:created>
  <dcterms:modified xsi:type="dcterms:W3CDTF">2017-09-19T09:08:00Z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Univerzita Karlova v Praze, Právnická Fakulta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