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3929" w:rsidRDefault="00D708D5">
      <w:pPr>
        <w:pStyle w:val="nazev"/>
      </w:pPr>
      <w:r>
        <w:t>JEDNACÍ ŘÁD VĚDECKÉ RADY</w:t>
      </w:r>
      <w:r>
        <w:br/>
        <w:t>MATEMATICKO-FYZIKÁLNÍ FAKULTY</w:t>
      </w:r>
      <w:r>
        <w:br/>
        <w:t>UNIVERZITY KARLOVY</w:t>
      </w:r>
    </w:p>
    <w:p w:rsidR="00713929" w:rsidRDefault="00D708D5">
      <w:pPr>
        <w:pStyle w:val="Default"/>
        <w:spacing w:before="283" w:line="276" w:lineRule="auto"/>
        <w:jc w:val="center"/>
        <w:rPr>
          <w:lang w:val="cs-CZ"/>
        </w:rPr>
      </w:pPr>
      <w:r>
        <w:rPr>
          <w:lang w:val="cs-CZ"/>
        </w:rPr>
        <w:t>ze dne 14. června 2017</w:t>
      </w:r>
    </w:p>
    <w:p w:rsidR="00713929" w:rsidRDefault="00D708D5">
      <w:pPr>
        <w:pStyle w:val="Default"/>
        <w:spacing w:before="340" w:after="454" w:line="276" w:lineRule="auto"/>
        <w:jc w:val="both"/>
        <w:rPr>
          <w:lang w:val="cs-CZ"/>
        </w:rPr>
      </w:pPr>
      <w:r>
        <w:rPr>
          <w:rFonts w:eastAsia="Times New Roman" w:cs="Times New Roman"/>
          <w:i/>
          <w:iCs/>
          <w:lang w:val="cs-CZ" w:eastAsia="cs-CZ"/>
        </w:rPr>
        <w:t>Akademický senát Matematicko-fyzikální fakulty Univerzity Karlovy se podle § 27 odst. 1 písm. b) a § 33 odst. 2 písm. d) zákona č. 111/1998 Sb., o vysokých školách a o změně a doplnění dalších zákonů (zákon o vysokých školách), ve znění pozdějších předpisů, a podle čl. 20 odst. 2 písm. i) Statutu Matematicko-fyzikální fakulty Univerzity Karlovy usnesl na tomto Jednacím řádu vědecké rady Matematicko-fyzikální fakulty Univerzity Karlovy, jako jejím vnitřním předpisu:</w:t>
      </w:r>
    </w:p>
    <w:p w:rsidR="00713929" w:rsidRDefault="00D708D5">
      <w:pPr>
        <w:pStyle w:val="clanek"/>
        <w:rPr>
          <w:lang w:val="cs-CZ"/>
        </w:rPr>
      </w:pPr>
      <w:r>
        <w:rPr>
          <w:lang w:val="cs-CZ"/>
        </w:rPr>
        <w:t>Čl. 1</w:t>
      </w:r>
      <w:r>
        <w:rPr>
          <w:lang w:val="cs-CZ"/>
        </w:rPr>
        <w:br/>
        <w:t>Základní ustanovení</w:t>
      </w:r>
    </w:p>
    <w:p w:rsidR="00713929" w:rsidRDefault="00D708D5">
      <w:pPr>
        <w:numPr>
          <w:ilvl w:val="0"/>
          <w:numId w:val="1"/>
        </w:numPr>
        <w:spacing w:before="170" w:after="170"/>
        <w:jc w:val="both"/>
        <w:rPr>
          <w:rFonts w:hint="eastAsia"/>
          <w:lang w:val="cs-CZ"/>
        </w:rPr>
      </w:pPr>
      <w:r>
        <w:rPr>
          <w:rFonts w:ascii="Times New Roman" w:hAnsi="Times New Roman" w:cs="Times New Roman"/>
          <w:lang w:val="cs-CZ" w:eastAsia="cs-CZ"/>
        </w:rPr>
        <w:t>Vědecká rada Matematicko-fyzikální fakulty Univerzity Karlovy (dále jen „vědecká rada“) je samosprávným akademickým orgánem Matematicko-fyzikální fakulty Univerzity Karlovy (dále jen „fakulta“).</w:t>
      </w:r>
    </w:p>
    <w:p w:rsidR="00713929" w:rsidRDefault="00D708D5">
      <w:pPr>
        <w:numPr>
          <w:ilvl w:val="0"/>
          <w:numId w:val="1"/>
        </w:numPr>
        <w:spacing w:before="170" w:after="170"/>
        <w:jc w:val="both"/>
        <w:rPr>
          <w:rFonts w:hint="eastAsia"/>
          <w:lang w:val="cs-CZ"/>
        </w:rPr>
      </w:pPr>
      <w:r>
        <w:rPr>
          <w:rFonts w:ascii="Times New Roman" w:hAnsi="Times New Roman" w:cs="Times New Roman"/>
          <w:lang w:val="cs-CZ" w:eastAsia="cs-CZ"/>
        </w:rPr>
        <w:t xml:space="preserve">Členy vědecké rady jmenuje a odvolává děkan. Řídí se při tom Statutem Matematicko-fyzikální fakulty Univerzity Karlovy. Členství ve vědecké radě zaniká způsobem stanoveným v čl. 8 odst. 8 Statutu Matematicko-fyzikální fakulty Univerzity Karlovy. </w:t>
      </w:r>
    </w:p>
    <w:p w:rsidR="00713929" w:rsidRDefault="00D708D5">
      <w:pPr>
        <w:numPr>
          <w:ilvl w:val="0"/>
          <w:numId w:val="1"/>
        </w:numPr>
        <w:spacing w:before="170" w:after="170"/>
        <w:jc w:val="both"/>
        <w:rPr>
          <w:rFonts w:hint="eastAsia"/>
          <w:lang w:val="cs-CZ"/>
        </w:rPr>
      </w:pPr>
      <w:r>
        <w:rPr>
          <w:rFonts w:ascii="Times New Roman" w:hAnsi="Times New Roman" w:cs="Times New Roman"/>
          <w:lang w:val="cs-CZ" w:eastAsia="cs-CZ"/>
        </w:rPr>
        <w:t>Vědecká rada zejména</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eastAsia="cs-CZ"/>
        </w:rPr>
        <w:t>projednává návrh strategického záměru vzdělávací a tvůrčí činnosti fakulty vypracovaný v souladu se strategickým záměrem Univerzity Karlovy (dále jen „univerzita“) a návrh každoročního plánu realizace strategického záměru fakulty;</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eastAsia="cs-CZ"/>
        </w:rPr>
        <w:t>schvaluje návrhy studijních programů, které mají být uskutečňovány na fakultě;</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eastAsia="cs-CZ"/>
        </w:rPr>
        <w:t xml:space="preserve">navrhuje rektorovi záměr předložit žádost o akreditaci, rozšíření akreditace nebo prodloužení doby platnosti akreditace studijních programů, které se uskutečňují na fakultě; </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eastAsia="cs-CZ"/>
        </w:rPr>
        <w:t xml:space="preserve">navrhuje rektorovi záměr předložit žádost o akreditaci habilitačního řízení a řízení ke jmenování profesorem pro řízení uskutečňovaná na fakultě; </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eastAsia="cs-CZ"/>
        </w:rPr>
        <w:t>vykonává působnost v habilitačním řízení a v řízení ke jmenování profesorem v rozsahu stanoveném zákonem č. 111/1998 Sb., ve znění pozdějších předpisů (dále jen „zákon o vysokých školách“);</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eastAsia="cs-CZ"/>
        </w:rPr>
        <w:t>vyjadřuje se k návrhu děkana na pověřování a odvolávání garantů bakalářských a magisterských studijních programů a členů oborových rad doktorských studijních programů; dále se vyjadřuje k návrhu děkana na ustanovení garantujících pracovišť;</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eastAsia="cs-CZ"/>
        </w:rPr>
        <w:t>schvaluje členy komise pro státní zkoušky v případech, kdy navrhovaní členové nejsou docenty ani profesory v daném ani příbuzném vědním oboru;</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eastAsia="cs-CZ"/>
        </w:rPr>
        <w:t>sleduje obsah a úroveň studia v doktorských studijních programech;</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eastAsia="cs-CZ"/>
        </w:rPr>
        <w:lastRenderedPageBreak/>
        <w:t xml:space="preserve">projednává návrhy na ustanovení školitelů studentů doktorských studijních programů v případech, kdy navrhovaní školitelé nejsou docenty ani profesory v daném ani příbuzném vědním oboru; </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eastAsia="cs-CZ"/>
        </w:rPr>
        <w:t>schvaluje návrh na jmenování hostujícího profesora univerzity;</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rPr>
        <w:t>navrhuje zřízení pracovního místa mimořádného profesora</w:t>
      </w:r>
      <w:r>
        <w:rPr>
          <w:rFonts w:ascii="Times New Roman" w:hAnsi="Times New Roman" w:cs="Times New Roman"/>
          <w:lang w:val="cs-CZ" w:eastAsia="cs-CZ"/>
        </w:rPr>
        <w:t xml:space="preserve">; </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eastAsia="cs-CZ"/>
        </w:rPr>
        <w:t xml:space="preserve">vyjadřuje se k návrhu děkana na udělení titulu doktor honoris causa; </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eastAsia="cs-CZ"/>
        </w:rPr>
        <w:t>navrhuje rektorovi jmenování emeritního profesora univerzity;</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eastAsia="cs-CZ"/>
        </w:rPr>
        <w:t>navrhuje rektorovi jmenování profesora in memoriam;</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eastAsia="cs-CZ"/>
        </w:rPr>
        <w:t>vyjadřuje se k návrhu na ustanovení vedoucích pracovišť a ředitelů ústavů fakulty;</w:t>
      </w:r>
    </w:p>
    <w:p w:rsidR="00713929" w:rsidRDefault="00D708D5">
      <w:pPr>
        <w:numPr>
          <w:ilvl w:val="1"/>
          <w:numId w:val="1"/>
        </w:numPr>
        <w:spacing w:before="170" w:after="170"/>
        <w:jc w:val="both"/>
        <w:rPr>
          <w:rFonts w:hint="eastAsia"/>
          <w:lang w:val="cs-CZ"/>
        </w:rPr>
      </w:pPr>
      <w:r>
        <w:rPr>
          <w:rFonts w:ascii="Times New Roman" w:hAnsi="Times New Roman" w:cs="Times New Roman"/>
          <w:lang w:val="cs-CZ" w:eastAsia="cs-CZ"/>
        </w:rPr>
        <w:t>vyjadřuje se dále k záležitostem, které jí předloží děkan.</w:t>
      </w:r>
    </w:p>
    <w:p w:rsidR="00713929" w:rsidRDefault="00D708D5">
      <w:pPr>
        <w:pStyle w:val="clanek"/>
        <w:rPr>
          <w:lang w:val="cs-CZ"/>
        </w:rPr>
      </w:pPr>
      <w:r>
        <w:rPr>
          <w:lang w:val="cs-CZ"/>
        </w:rPr>
        <w:t>Čl. 2</w:t>
      </w:r>
      <w:r>
        <w:rPr>
          <w:lang w:val="cs-CZ"/>
        </w:rPr>
        <w:br/>
        <w:t>Zasedání vědecké rady</w:t>
      </w:r>
    </w:p>
    <w:p w:rsidR="00713929" w:rsidRDefault="00D708D5">
      <w:pPr>
        <w:numPr>
          <w:ilvl w:val="0"/>
          <w:numId w:val="2"/>
        </w:numPr>
        <w:spacing w:before="170" w:after="170"/>
        <w:jc w:val="both"/>
        <w:rPr>
          <w:rFonts w:hint="eastAsia"/>
          <w:lang w:val="cs-CZ"/>
        </w:rPr>
      </w:pPr>
      <w:r>
        <w:rPr>
          <w:rFonts w:ascii="Times New Roman" w:hAnsi="Times New Roman" w:cs="Times New Roman"/>
          <w:lang w:val="cs-CZ" w:eastAsia="cs-CZ"/>
        </w:rPr>
        <w:t>Vědecká rada zasedá podle potřeby, nejméně však třikrát za semestr. Předsedou vědecké rady je děkan, který zasedání vědecké rady svolává. Zasedání vědecké rady může svolat též děkanem pověřený proděkan. Zasedání vědecké rady řídí předseda nebo jím pověřený proděkan. Zasedání musí být svoláno do 14 dnů, požádá-li o to alespoň třetina členů vědecké rady. Pozvánku na zasedání vědecké rady s programem a podklady k jednotlivým bodům pořadu musí mít členové vědecké rady k dispozici nejméně tři dny před zasedáním. Ve výjimečných a odůvodněných případech mohou být též materiály členům vědecké rady předloženy až před zasedáním.  Program zasedání vědecké rady stanoví předseda vědecké rady s přihlédnutím k námětům členů vědecké rady.</w:t>
      </w:r>
    </w:p>
    <w:p w:rsidR="00713929" w:rsidRDefault="00D708D5">
      <w:pPr>
        <w:numPr>
          <w:ilvl w:val="0"/>
          <w:numId w:val="2"/>
        </w:numPr>
        <w:spacing w:before="170" w:after="170"/>
        <w:jc w:val="both"/>
        <w:rPr>
          <w:rFonts w:hint="eastAsia"/>
          <w:lang w:val="cs-CZ"/>
        </w:rPr>
      </w:pPr>
      <w:r>
        <w:rPr>
          <w:rFonts w:ascii="Times New Roman" w:hAnsi="Times New Roman" w:cs="Times New Roman"/>
          <w:lang w:val="cs-CZ" w:eastAsia="cs-CZ"/>
        </w:rPr>
        <w:t>Proděkani, předseda akademického senátu fakulty, tajemník fakulty a vedoucí knihovny mají právo účastnit se zasedání vědecké rady s hlasem poradním.</w:t>
      </w:r>
    </w:p>
    <w:p w:rsidR="00713929" w:rsidRDefault="00D708D5">
      <w:pPr>
        <w:numPr>
          <w:ilvl w:val="0"/>
          <w:numId w:val="2"/>
        </w:numPr>
        <w:spacing w:before="170" w:after="170"/>
        <w:jc w:val="both"/>
        <w:rPr>
          <w:rFonts w:hint="eastAsia"/>
          <w:lang w:val="cs-CZ"/>
        </w:rPr>
      </w:pPr>
      <w:r>
        <w:rPr>
          <w:rFonts w:ascii="Times New Roman" w:hAnsi="Times New Roman" w:cs="Times New Roman"/>
          <w:lang w:val="cs-CZ" w:eastAsia="cs-CZ"/>
        </w:rPr>
        <w:t>Jednání vědecké rady je veřejné, s výjimkou jednání nebo jeho částí uvedených v odstavci 4 a v čl. 4 odst 3.</w:t>
      </w:r>
    </w:p>
    <w:p w:rsidR="00713929" w:rsidRDefault="00D708D5">
      <w:pPr>
        <w:numPr>
          <w:ilvl w:val="0"/>
          <w:numId w:val="2"/>
        </w:numPr>
        <w:spacing w:before="170" w:after="170"/>
        <w:jc w:val="both"/>
        <w:rPr>
          <w:rFonts w:hint="eastAsia"/>
          <w:lang w:val="cs-CZ"/>
        </w:rPr>
      </w:pPr>
      <w:r>
        <w:rPr>
          <w:rFonts w:ascii="Times New Roman" w:hAnsi="Times New Roman" w:cs="Times New Roman"/>
          <w:lang w:val="cs-CZ" w:eastAsia="cs-CZ"/>
        </w:rPr>
        <w:t>Na návrh děkana se může vědecká rada usnést, že celé její jednání, nebo jeho část budou prohlášeny za uzavřené, jestliže by veřejnost jednání ohrozila osobnostní právo jednotlivce nebo důležitý zájem fakulty. V takovém případě vědecká rada určí, kdo se uzavřeného jednání smí účastnit.</w:t>
      </w:r>
    </w:p>
    <w:p w:rsidR="00713929" w:rsidRDefault="00D708D5">
      <w:pPr>
        <w:numPr>
          <w:ilvl w:val="0"/>
          <w:numId w:val="2"/>
        </w:numPr>
        <w:spacing w:before="170" w:after="170"/>
        <w:jc w:val="both"/>
        <w:rPr>
          <w:rFonts w:hint="eastAsia"/>
          <w:lang w:val="cs-CZ"/>
        </w:rPr>
      </w:pPr>
      <w:r>
        <w:rPr>
          <w:rFonts w:ascii="Times New Roman" w:hAnsi="Times New Roman" w:cs="Times New Roman"/>
          <w:lang w:val="cs-CZ" w:eastAsia="cs-CZ"/>
        </w:rPr>
        <w:t>Vědecká rada je způsobilá se usnášet, je-li na zasedání přítomna nadpoloviční většina členů vědecké rady. Při hlasování o návrzích na jmenování profesorů nebo docentů je nutná přítomnost nejméně dvou třetin členů vědecké rady.</w:t>
      </w:r>
    </w:p>
    <w:p w:rsidR="00713929" w:rsidRDefault="00D708D5">
      <w:pPr>
        <w:pStyle w:val="clanek"/>
        <w:rPr>
          <w:lang w:val="cs-CZ"/>
        </w:rPr>
      </w:pPr>
      <w:r>
        <w:rPr>
          <w:lang w:val="cs-CZ"/>
        </w:rPr>
        <w:t>Čl. 3</w:t>
      </w:r>
      <w:r>
        <w:rPr>
          <w:lang w:val="cs-CZ"/>
        </w:rPr>
        <w:br/>
        <w:t>Průběh jednání</w:t>
      </w:r>
    </w:p>
    <w:p w:rsidR="00713929" w:rsidRDefault="00D708D5">
      <w:pPr>
        <w:numPr>
          <w:ilvl w:val="0"/>
          <w:numId w:val="3"/>
        </w:numPr>
        <w:spacing w:before="170" w:after="170"/>
        <w:jc w:val="both"/>
        <w:rPr>
          <w:rFonts w:hint="eastAsia"/>
          <w:lang w:val="cs-CZ"/>
        </w:rPr>
      </w:pPr>
      <w:r>
        <w:rPr>
          <w:rFonts w:ascii="Times New Roman" w:hAnsi="Times New Roman" w:cs="Times New Roman"/>
          <w:lang w:val="cs-CZ" w:eastAsia="cs-CZ"/>
        </w:rPr>
        <w:t>Součástí jednání je schválení programu zasedání a schválení zápisu z předchozího zasedání vědecké rady.</w:t>
      </w:r>
    </w:p>
    <w:p w:rsidR="00713929" w:rsidRDefault="00D708D5">
      <w:pPr>
        <w:numPr>
          <w:ilvl w:val="0"/>
          <w:numId w:val="3"/>
        </w:numPr>
        <w:spacing w:before="170" w:after="170"/>
        <w:jc w:val="both"/>
        <w:rPr>
          <w:rFonts w:hint="eastAsia"/>
          <w:lang w:val="cs-CZ"/>
        </w:rPr>
      </w:pPr>
      <w:r>
        <w:rPr>
          <w:rFonts w:ascii="Times New Roman" w:hAnsi="Times New Roman" w:cs="Times New Roman"/>
          <w:lang w:val="cs-CZ" w:eastAsia="cs-CZ"/>
        </w:rPr>
        <w:lastRenderedPageBreak/>
        <w:t>Každý člen a čestný člen vědecké rady má právo se v rozpravě vyjádřit k projednávaným otázkám. Se souhlasem vědecké rady se mohou rozpravy účastnit i hosté. Je-li k dispozici písemné stanovisko nepřítomného člena vědecké rady, musí být přečteno.</w:t>
      </w:r>
    </w:p>
    <w:p w:rsidR="00713929" w:rsidRDefault="00D708D5">
      <w:pPr>
        <w:numPr>
          <w:ilvl w:val="0"/>
          <w:numId w:val="3"/>
        </w:numPr>
        <w:spacing w:before="170" w:after="170"/>
        <w:jc w:val="both"/>
        <w:rPr>
          <w:rFonts w:hint="eastAsia"/>
          <w:lang w:val="cs-CZ"/>
        </w:rPr>
      </w:pPr>
      <w:r>
        <w:rPr>
          <w:rFonts w:ascii="Times New Roman" w:hAnsi="Times New Roman" w:cs="Times New Roman"/>
          <w:lang w:val="cs-CZ" w:eastAsia="cs-CZ"/>
        </w:rPr>
        <w:t>Po ukončení rozpravy vědecká rada přijímá rozhodnutí formou usnesení.</w:t>
      </w:r>
    </w:p>
    <w:p w:rsidR="00713929" w:rsidRDefault="00D708D5">
      <w:pPr>
        <w:pStyle w:val="clanek"/>
        <w:rPr>
          <w:lang w:val="cs-CZ"/>
        </w:rPr>
      </w:pPr>
      <w:r>
        <w:rPr>
          <w:lang w:val="cs-CZ"/>
        </w:rPr>
        <w:t>Čl. 4</w:t>
      </w:r>
      <w:r>
        <w:rPr>
          <w:lang w:val="cs-CZ"/>
        </w:rPr>
        <w:br/>
        <w:t>Hlasování v rámci zasedání vědecké rady</w:t>
      </w:r>
    </w:p>
    <w:p w:rsidR="00713929" w:rsidRDefault="00D708D5">
      <w:pPr>
        <w:numPr>
          <w:ilvl w:val="0"/>
          <w:numId w:val="4"/>
        </w:numPr>
        <w:spacing w:before="170" w:after="170"/>
        <w:jc w:val="both"/>
        <w:rPr>
          <w:rFonts w:hint="eastAsia"/>
          <w:lang w:val="cs-CZ"/>
        </w:rPr>
      </w:pPr>
      <w:r>
        <w:rPr>
          <w:rFonts w:ascii="Times New Roman" w:hAnsi="Times New Roman" w:cs="Times New Roman"/>
          <w:lang w:val="cs-CZ" w:eastAsia="cs-CZ"/>
        </w:rPr>
        <w:t>Právo hlasovat mají pouze přítomní členové vědecké rady.</w:t>
      </w:r>
    </w:p>
    <w:p w:rsidR="00713929" w:rsidRDefault="00D708D5">
      <w:pPr>
        <w:numPr>
          <w:ilvl w:val="0"/>
          <w:numId w:val="4"/>
        </w:numPr>
        <w:spacing w:before="170" w:after="170"/>
        <w:jc w:val="both"/>
        <w:rPr>
          <w:rFonts w:hint="eastAsia"/>
          <w:lang w:val="cs-CZ"/>
        </w:rPr>
      </w:pPr>
      <w:r>
        <w:rPr>
          <w:rFonts w:ascii="Times New Roman" w:hAnsi="Times New Roman" w:cs="Times New Roman"/>
          <w:lang w:val="cs-CZ" w:eastAsia="cs-CZ"/>
        </w:rPr>
        <w:t>Při hlasování rozhoduje nadpoloviční většina přítomných členů vědecké rady; toto se nevztahuje na</w:t>
      </w:r>
      <w:r w:rsidR="0018021C">
        <w:rPr>
          <w:rFonts w:ascii="Times New Roman" w:hAnsi="Times New Roman" w:cs="Times New Roman"/>
          <w:lang w:val="cs-CZ" w:eastAsia="cs-CZ"/>
        </w:rPr>
        <w:t xml:space="preserve"> hlasování uvedené v odstavci 3</w:t>
      </w:r>
      <w:bookmarkStart w:id="0" w:name="_GoBack"/>
      <w:bookmarkEnd w:id="0"/>
      <w:r>
        <w:rPr>
          <w:rFonts w:ascii="Times New Roman" w:hAnsi="Times New Roman" w:cs="Times New Roman"/>
          <w:lang w:val="cs-CZ" w:eastAsia="cs-CZ"/>
        </w:rPr>
        <w:t>.</w:t>
      </w:r>
    </w:p>
    <w:p w:rsidR="00713929" w:rsidRDefault="00D708D5">
      <w:pPr>
        <w:numPr>
          <w:ilvl w:val="0"/>
          <w:numId w:val="4"/>
        </w:numPr>
        <w:spacing w:before="170" w:after="170"/>
        <w:jc w:val="both"/>
        <w:rPr>
          <w:rFonts w:hint="eastAsia"/>
          <w:lang w:val="cs-CZ"/>
        </w:rPr>
      </w:pPr>
      <w:r>
        <w:rPr>
          <w:rFonts w:ascii="Times New Roman" w:hAnsi="Times New Roman" w:cs="Times New Roman"/>
          <w:lang w:val="cs-CZ" w:eastAsia="cs-CZ"/>
        </w:rPr>
        <w:t>Při projednávání návrhů na jmenování docentů a profesorů postupuje vědecká rada v souladu s § 72 a § 74 zákona o vysokých školách. Vědecká rada hlasuje o každém návrhu jednotlivě. Součástí veřejné části projednávání návrhu je přednáška uchazeče a rozprava. Na závěr této části vystoupí se shrnutím stanoviska komise její předseda nebo jím pověřený člen komise. Následuje uzavřená část jednání, které se mohou zúčastnit i čestní členové vědecké rady, členové komise a oponenti, a která je zakončena tajným hlasováním vědecké rady. Při hlasování ve věcech podle § 72 odst. 10 a § 74 odst. 6 zákona o vysokých školách je třeba souhlasu nadpoloviční většiny všech členů vědecké rady.</w:t>
      </w:r>
    </w:p>
    <w:p w:rsidR="00713929" w:rsidRDefault="00D708D5">
      <w:pPr>
        <w:numPr>
          <w:ilvl w:val="0"/>
          <w:numId w:val="4"/>
        </w:numPr>
        <w:spacing w:before="170" w:after="170"/>
        <w:jc w:val="both"/>
        <w:rPr>
          <w:rFonts w:hint="eastAsia"/>
          <w:lang w:val="cs-CZ"/>
        </w:rPr>
      </w:pPr>
      <w:r>
        <w:rPr>
          <w:rFonts w:ascii="Times New Roman" w:hAnsi="Times New Roman" w:cs="Times New Roman"/>
          <w:lang w:val="cs-CZ" w:eastAsia="cs-CZ"/>
        </w:rPr>
        <w:t>Kromě případu uvedeného v odstavci 3 se tajné hlasování uskuteční, pokud se tak vědecká rada usnese.</w:t>
      </w:r>
    </w:p>
    <w:p w:rsidR="00713929" w:rsidRDefault="00D708D5">
      <w:pPr>
        <w:pStyle w:val="clanek"/>
        <w:rPr>
          <w:lang w:val="cs-CZ"/>
        </w:rPr>
      </w:pPr>
      <w:r>
        <w:rPr>
          <w:lang w:val="cs-CZ"/>
        </w:rPr>
        <w:t>Čl. 5</w:t>
      </w:r>
      <w:r>
        <w:rPr>
          <w:lang w:val="cs-CZ"/>
        </w:rPr>
        <w:br/>
        <w:t>Hlasování mimo zasedání vědecké rady</w:t>
      </w:r>
    </w:p>
    <w:p w:rsidR="00713929" w:rsidRDefault="00D708D5">
      <w:pPr>
        <w:numPr>
          <w:ilvl w:val="0"/>
          <w:numId w:val="5"/>
        </w:numPr>
        <w:spacing w:before="170" w:after="170"/>
        <w:jc w:val="both"/>
        <w:rPr>
          <w:rFonts w:hint="eastAsia"/>
          <w:lang w:val="cs-CZ"/>
        </w:rPr>
      </w:pPr>
      <w:r>
        <w:rPr>
          <w:rFonts w:ascii="Times New Roman" w:hAnsi="Times New Roman" w:cs="Times New Roman"/>
          <w:lang w:val="cs-CZ" w:eastAsia="cs-CZ"/>
        </w:rPr>
        <w:t>Neodkladné návrhy,  k jejichž schválení není možné nebo účelné svolat zasedání vědecké rady a které nejsou uvedeny v čl. 1 odst. 3 písm. b), c), d), e) nebo j),  mohou být z rozhodnutí předsedy vědecké rady nebo jím pověřeného proděkana, který jej v řízení vědecké rady zastupuje, schváleny hlasováním mimo zasedání vědecké rady (dále jen „per rollam“).</w:t>
      </w:r>
    </w:p>
    <w:p w:rsidR="00713929" w:rsidRDefault="00D708D5">
      <w:pPr>
        <w:numPr>
          <w:ilvl w:val="0"/>
          <w:numId w:val="5"/>
        </w:numPr>
        <w:spacing w:before="170" w:after="170"/>
        <w:jc w:val="both"/>
        <w:rPr>
          <w:rFonts w:hint="eastAsia"/>
          <w:lang w:val="cs-CZ"/>
        </w:rPr>
      </w:pPr>
      <w:r>
        <w:rPr>
          <w:rFonts w:ascii="Times New Roman" w:hAnsi="Times New Roman" w:cs="Times New Roman"/>
          <w:lang w:val="cs-CZ" w:eastAsia="cs-CZ"/>
        </w:rPr>
        <w:t>Vyhlášení hlasování, znění návrhu a hlasovací lístek se rozešlou členům prostřednictvím elektronické konference. Ve vyhlášení se uvede lhůta pro hlasování, která činí nejméně pět dní.</w:t>
      </w:r>
    </w:p>
    <w:p w:rsidR="00713929" w:rsidRDefault="00D708D5">
      <w:pPr>
        <w:numPr>
          <w:ilvl w:val="0"/>
          <w:numId w:val="5"/>
        </w:numPr>
        <w:spacing w:before="170" w:after="170"/>
        <w:jc w:val="both"/>
        <w:rPr>
          <w:rFonts w:hint="eastAsia"/>
          <w:lang w:val="cs-CZ"/>
        </w:rPr>
      </w:pPr>
      <w:r>
        <w:rPr>
          <w:rFonts w:ascii="Times New Roman" w:hAnsi="Times New Roman" w:cs="Times New Roman"/>
          <w:lang w:val="cs-CZ" w:eastAsia="cs-CZ"/>
        </w:rPr>
        <w:t xml:space="preserve">Člen elektronickou cestou zašle vyplněný hlasovací lístek obsahující jméno a příjmení hlasujícího a jeho hlasování, tj. souhlas, nesouhlas, nebo zdržení se, ve lhůtě podle odstavce 2, jinak je jeho hlas neplatný. Stejnou cestou a ve stejné lhůtě může člen hlasování per rollam odmítnout. </w:t>
      </w:r>
    </w:p>
    <w:p w:rsidR="00713929" w:rsidRDefault="00D708D5">
      <w:pPr>
        <w:numPr>
          <w:ilvl w:val="0"/>
          <w:numId w:val="5"/>
        </w:numPr>
        <w:spacing w:before="170" w:after="170"/>
        <w:jc w:val="both"/>
        <w:rPr>
          <w:rFonts w:hint="eastAsia"/>
          <w:lang w:val="cs-CZ"/>
        </w:rPr>
      </w:pPr>
      <w:r>
        <w:rPr>
          <w:rFonts w:ascii="Times New Roman" w:hAnsi="Times New Roman" w:cs="Times New Roman"/>
          <w:lang w:val="cs-CZ" w:eastAsia="cs-CZ"/>
        </w:rPr>
        <w:t>Návrh schvalovaný per rollam se považuje za schválený, jestliže s ním vyslovila souhlas nadpoloviční většina všech členů vědecké rady. To neplatí, jestliže hlasování per rollam o návrhu odmítla nejméně jedna třetina všech členů.</w:t>
      </w:r>
    </w:p>
    <w:p w:rsidR="00713929" w:rsidRDefault="00D708D5">
      <w:pPr>
        <w:numPr>
          <w:ilvl w:val="0"/>
          <w:numId w:val="5"/>
        </w:numPr>
        <w:spacing w:before="170" w:after="170"/>
        <w:jc w:val="both"/>
        <w:rPr>
          <w:rFonts w:hint="eastAsia"/>
          <w:lang w:val="cs-CZ"/>
        </w:rPr>
      </w:pPr>
      <w:r>
        <w:rPr>
          <w:rFonts w:ascii="Times New Roman" w:hAnsi="Times New Roman" w:cs="Times New Roman"/>
          <w:lang w:val="cs-CZ" w:eastAsia="cs-CZ"/>
        </w:rPr>
        <w:t>Předseda vědecké rady nebo pověřený proděkan, který jej zastupuje, může z vlastního podnětu nebo na žádost člena vědecké rady návrh pozastavit a rozhodnout o jeho novém projednání na nejbližším zasedání vědecké rady.</w:t>
      </w:r>
    </w:p>
    <w:p w:rsidR="00713929" w:rsidRDefault="00D708D5">
      <w:pPr>
        <w:numPr>
          <w:ilvl w:val="0"/>
          <w:numId w:val="5"/>
        </w:numPr>
        <w:spacing w:before="170" w:after="170"/>
        <w:jc w:val="both"/>
        <w:rPr>
          <w:rFonts w:hint="eastAsia"/>
          <w:lang w:val="cs-CZ"/>
        </w:rPr>
      </w:pPr>
      <w:r>
        <w:rPr>
          <w:rFonts w:ascii="Times New Roman" w:hAnsi="Times New Roman" w:cs="Times New Roman"/>
          <w:lang w:val="cs-CZ" w:eastAsia="cs-CZ"/>
        </w:rPr>
        <w:t>Zápis o hlasování per rollam je součástí zápisu z nejbližšího dalšího zasedání vědecké rady.</w:t>
      </w:r>
    </w:p>
    <w:p w:rsidR="00713929" w:rsidRDefault="00D708D5">
      <w:pPr>
        <w:pStyle w:val="clanek"/>
        <w:rPr>
          <w:lang w:val="cs-CZ"/>
        </w:rPr>
      </w:pPr>
      <w:r>
        <w:rPr>
          <w:lang w:val="cs-CZ"/>
        </w:rPr>
        <w:lastRenderedPageBreak/>
        <w:t>Čl. 6</w:t>
      </w:r>
      <w:r>
        <w:rPr>
          <w:lang w:val="cs-CZ"/>
        </w:rPr>
        <w:br/>
        <w:t>Zápis</w:t>
      </w:r>
    </w:p>
    <w:p w:rsidR="00713929" w:rsidRDefault="00D708D5">
      <w:pPr>
        <w:numPr>
          <w:ilvl w:val="0"/>
          <w:numId w:val="6"/>
        </w:numPr>
        <w:spacing w:before="170" w:after="170"/>
        <w:jc w:val="both"/>
        <w:rPr>
          <w:rFonts w:hint="eastAsia"/>
          <w:lang w:val="cs-CZ"/>
        </w:rPr>
      </w:pPr>
      <w:r>
        <w:rPr>
          <w:rFonts w:ascii="Times New Roman" w:hAnsi="Times New Roman" w:cs="Times New Roman"/>
          <w:lang w:val="cs-CZ" w:eastAsia="cs-CZ"/>
        </w:rPr>
        <w:t>O každém zasedání musí být učiněn zápis. Zápis ověřuje děkan.</w:t>
      </w:r>
    </w:p>
    <w:p w:rsidR="00713929" w:rsidRDefault="00D708D5">
      <w:pPr>
        <w:numPr>
          <w:ilvl w:val="0"/>
          <w:numId w:val="6"/>
        </w:numPr>
        <w:spacing w:before="170" w:after="170"/>
        <w:jc w:val="both"/>
        <w:rPr>
          <w:rFonts w:hint="eastAsia"/>
          <w:lang w:val="cs-CZ"/>
        </w:rPr>
      </w:pPr>
      <w:r>
        <w:rPr>
          <w:rFonts w:ascii="Times New Roman" w:hAnsi="Times New Roman" w:cs="Times New Roman"/>
          <w:lang w:val="cs-CZ" w:eastAsia="cs-CZ"/>
        </w:rPr>
        <w:t xml:space="preserve">Zápis ze zasedání vědecké rady se po schválení na dalším zasedání vědecké rady zveřejňuje nejpozději do deseti dnů prostřednictvím veřejné části </w:t>
      </w:r>
      <w:r w:rsidR="00C702FF">
        <w:rPr>
          <w:rFonts w:ascii="Times New Roman" w:hAnsi="Times New Roman" w:cs="Times New Roman"/>
          <w:lang w:val="cs-CZ" w:eastAsia="cs-CZ"/>
        </w:rPr>
        <w:t>internetových (</w:t>
      </w:r>
      <w:r>
        <w:rPr>
          <w:rFonts w:ascii="Times New Roman" w:hAnsi="Times New Roman" w:cs="Times New Roman"/>
          <w:lang w:val="cs-CZ" w:eastAsia="cs-CZ"/>
        </w:rPr>
        <w:t>webových</w:t>
      </w:r>
      <w:r w:rsidR="00C702FF">
        <w:rPr>
          <w:rFonts w:ascii="Times New Roman" w:hAnsi="Times New Roman" w:cs="Times New Roman"/>
          <w:lang w:val="cs-CZ" w:eastAsia="cs-CZ"/>
        </w:rPr>
        <w:t>)</w:t>
      </w:r>
      <w:r>
        <w:rPr>
          <w:rFonts w:ascii="Times New Roman" w:hAnsi="Times New Roman" w:cs="Times New Roman"/>
          <w:lang w:val="cs-CZ" w:eastAsia="cs-CZ"/>
        </w:rPr>
        <w:t xml:space="preserve"> stránek fakulty.</w:t>
      </w:r>
    </w:p>
    <w:p w:rsidR="00713929" w:rsidRDefault="00D708D5">
      <w:pPr>
        <w:numPr>
          <w:ilvl w:val="0"/>
          <w:numId w:val="6"/>
        </w:numPr>
        <w:spacing w:before="170" w:after="170"/>
        <w:jc w:val="both"/>
        <w:rPr>
          <w:rFonts w:hint="eastAsia"/>
          <w:lang w:val="cs-CZ"/>
        </w:rPr>
      </w:pPr>
      <w:r>
        <w:rPr>
          <w:rFonts w:ascii="Times New Roman" w:hAnsi="Times New Roman" w:cs="Times New Roman"/>
          <w:lang w:val="cs-CZ" w:eastAsia="cs-CZ"/>
        </w:rPr>
        <w:t>Za administrativní zajištění agendy vědecké rady zodpovídá sekretariát děkana.</w:t>
      </w:r>
    </w:p>
    <w:p w:rsidR="00713929" w:rsidRDefault="00D708D5">
      <w:pPr>
        <w:pStyle w:val="clanek"/>
        <w:rPr>
          <w:lang w:val="cs-CZ"/>
        </w:rPr>
      </w:pPr>
      <w:r>
        <w:rPr>
          <w:lang w:val="cs-CZ"/>
        </w:rPr>
        <w:t>Čl. 7</w:t>
      </w:r>
      <w:r>
        <w:rPr>
          <w:lang w:val="cs-CZ"/>
        </w:rPr>
        <w:br/>
        <w:t>Závěrečná ustanovení</w:t>
      </w:r>
    </w:p>
    <w:p w:rsidR="00713929" w:rsidRDefault="00D708D5">
      <w:pPr>
        <w:numPr>
          <w:ilvl w:val="0"/>
          <w:numId w:val="7"/>
        </w:numPr>
        <w:spacing w:before="170" w:after="170"/>
        <w:jc w:val="both"/>
        <w:rPr>
          <w:rFonts w:hint="eastAsia"/>
          <w:lang w:val="cs-CZ"/>
        </w:rPr>
      </w:pPr>
      <w:r>
        <w:rPr>
          <w:rFonts w:ascii="Times New Roman" w:hAnsi="Times New Roman" w:cs="Times New Roman"/>
          <w:lang w:val="cs-CZ" w:eastAsia="cs-CZ"/>
        </w:rPr>
        <w:t>Tento řád byl projednán vědeckou radou dne 3. května 2017.</w:t>
      </w:r>
    </w:p>
    <w:p w:rsidR="00713929" w:rsidRDefault="00D708D5">
      <w:pPr>
        <w:numPr>
          <w:ilvl w:val="0"/>
          <w:numId w:val="7"/>
        </w:numPr>
        <w:spacing w:before="170" w:after="170"/>
        <w:jc w:val="both"/>
        <w:rPr>
          <w:rFonts w:hint="eastAsia"/>
          <w:lang w:val="cs-CZ"/>
        </w:rPr>
      </w:pPr>
      <w:r>
        <w:rPr>
          <w:rFonts w:ascii="Times New Roman" w:hAnsi="Times New Roman" w:cs="Times New Roman"/>
          <w:lang w:val="cs-CZ" w:eastAsia="cs-CZ"/>
        </w:rPr>
        <w:t>Zrušuje se Jednací řád vědecké rady Matematicko-fyzikální fakulty schválený akademickým senátem fakulty dne 11. června 1999.</w:t>
      </w:r>
    </w:p>
    <w:p w:rsidR="00713929" w:rsidRDefault="00D708D5">
      <w:pPr>
        <w:numPr>
          <w:ilvl w:val="0"/>
          <w:numId w:val="7"/>
        </w:numPr>
        <w:spacing w:before="170" w:after="170"/>
        <w:jc w:val="both"/>
        <w:rPr>
          <w:rFonts w:hint="eastAsia"/>
          <w:lang w:val="cs-CZ"/>
        </w:rPr>
      </w:pPr>
      <w:r>
        <w:rPr>
          <w:rFonts w:ascii="Times New Roman" w:hAnsi="Times New Roman" w:cs="Times New Roman"/>
          <w:lang w:val="cs-CZ" w:eastAsia="cs-CZ"/>
        </w:rPr>
        <w:t>Tento řád byl schválen akademickým senátem fakulty dne 14. června 2017.</w:t>
      </w:r>
    </w:p>
    <w:p w:rsidR="00713929" w:rsidRDefault="00D708D5">
      <w:pPr>
        <w:numPr>
          <w:ilvl w:val="0"/>
          <w:numId w:val="7"/>
        </w:numPr>
        <w:spacing w:before="170" w:after="170"/>
        <w:jc w:val="both"/>
        <w:rPr>
          <w:rFonts w:hint="eastAsia"/>
          <w:lang w:val="cs-CZ"/>
        </w:rPr>
      </w:pPr>
      <w:r>
        <w:rPr>
          <w:rFonts w:ascii="Times New Roman" w:hAnsi="Times New Roman" w:cs="Times New Roman"/>
          <w:lang w:val="cs-CZ" w:eastAsia="cs-CZ"/>
        </w:rPr>
        <w:t>Tento řád nabývá platnosti dnem schválení akademickým senátem univerzity.</w:t>
      </w:r>
      <w:r>
        <w:rPr>
          <w:rStyle w:val="FootnoteAnchor"/>
          <w:rFonts w:ascii="Times New Roman" w:hAnsi="Times New Roman" w:cs="Times New Roman"/>
          <w:lang w:val="cs-CZ" w:eastAsia="cs-CZ"/>
        </w:rPr>
        <w:footnoteReference w:id="1"/>
      </w:r>
      <w:r>
        <w:rPr>
          <w:rFonts w:ascii="Times New Roman" w:hAnsi="Times New Roman" w:cs="Times New Roman"/>
          <w:vertAlign w:val="superscript"/>
          <w:lang w:val="cs-CZ" w:eastAsia="cs-CZ"/>
        </w:rPr>
        <w:t>)</w:t>
      </w:r>
    </w:p>
    <w:p w:rsidR="00713929" w:rsidRDefault="00D708D5">
      <w:pPr>
        <w:numPr>
          <w:ilvl w:val="0"/>
          <w:numId w:val="7"/>
        </w:numPr>
        <w:spacing w:before="170" w:after="170"/>
        <w:jc w:val="both"/>
        <w:rPr>
          <w:rFonts w:hint="eastAsia"/>
          <w:lang w:val="cs-CZ"/>
        </w:rPr>
      </w:pPr>
      <w:r>
        <w:rPr>
          <w:rFonts w:ascii="Times New Roman" w:hAnsi="Times New Roman" w:cs="Times New Roman"/>
          <w:lang w:val="cs-CZ" w:eastAsia="cs-CZ"/>
        </w:rPr>
        <w:t>Tento řád nabývá účinnosti prvního dne kalendářního měsíce následujícího po dni, kdy nabyl platnosti.</w:t>
      </w:r>
    </w:p>
    <w:tbl>
      <w:tblPr>
        <w:tblW w:w="8702" w:type="dxa"/>
        <w:tblInd w:w="360" w:type="dxa"/>
        <w:tblLook w:val="0000" w:firstRow="0" w:lastRow="0" w:firstColumn="0" w:lastColumn="0" w:noHBand="0" w:noVBand="0"/>
      </w:tblPr>
      <w:tblGrid>
        <w:gridCol w:w="4386"/>
        <w:gridCol w:w="4316"/>
      </w:tblGrid>
      <w:tr w:rsidR="00713929">
        <w:tc>
          <w:tcPr>
            <w:tcW w:w="4385" w:type="dxa"/>
            <w:shd w:val="clear" w:color="auto" w:fill="auto"/>
          </w:tcPr>
          <w:p w:rsidR="00713929" w:rsidRDefault="00713929">
            <w:pPr>
              <w:jc w:val="center"/>
              <w:rPr>
                <w:rFonts w:ascii="Times New Roman" w:hAnsi="Times New Roman" w:cs="Times New Roman"/>
                <w:i/>
                <w:lang w:val="cs-CZ" w:eastAsia="cs-CZ"/>
              </w:rPr>
            </w:pPr>
          </w:p>
          <w:p w:rsidR="00713929" w:rsidRDefault="00D708D5">
            <w:pPr>
              <w:jc w:val="center"/>
              <w:rPr>
                <w:rFonts w:hint="eastAsia"/>
                <w:lang w:val="cs-CZ"/>
              </w:rPr>
            </w:pPr>
            <w:r>
              <w:rPr>
                <w:rFonts w:ascii="Times New Roman" w:hAnsi="Times New Roman" w:cs="Times New Roman"/>
                <w:i/>
                <w:lang w:val="cs-CZ" w:eastAsia="cs-CZ"/>
              </w:rPr>
              <w:t>Doc. RNDr. Zdeněk Drozd, Ph.D.</w:t>
            </w:r>
            <w:r>
              <w:rPr>
                <w:rFonts w:ascii="Times New Roman" w:hAnsi="Times New Roman" w:cs="Times New Roman"/>
                <w:lang w:val="cs-CZ" w:eastAsia="cs-CZ"/>
              </w:rPr>
              <w:t xml:space="preserve"> </w:t>
            </w:r>
          </w:p>
          <w:p w:rsidR="00713929" w:rsidRDefault="00D708D5">
            <w:pPr>
              <w:jc w:val="center"/>
              <w:rPr>
                <w:rFonts w:ascii="Times New Roman" w:hAnsi="Times New Roman" w:cs="Times New Roman"/>
                <w:lang w:eastAsia="cs-CZ"/>
              </w:rPr>
            </w:pPr>
            <w:r>
              <w:rPr>
                <w:rFonts w:ascii="Times New Roman" w:hAnsi="Times New Roman" w:cs="Times New Roman"/>
                <w:lang w:val="cs-CZ" w:eastAsia="cs-CZ"/>
              </w:rPr>
              <w:t>předseda akademického senátu</w:t>
            </w:r>
          </w:p>
        </w:tc>
        <w:tc>
          <w:tcPr>
            <w:tcW w:w="4316" w:type="dxa"/>
            <w:shd w:val="clear" w:color="auto" w:fill="auto"/>
          </w:tcPr>
          <w:p w:rsidR="00713929" w:rsidRDefault="00713929">
            <w:pPr>
              <w:jc w:val="center"/>
              <w:rPr>
                <w:rFonts w:ascii="Times New Roman" w:hAnsi="Times New Roman" w:cs="Times New Roman"/>
                <w:i/>
                <w:lang w:val="cs-CZ" w:eastAsia="cs-CZ"/>
              </w:rPr>
            </w:pPr>
          </w:p>
          <w:p w:rsidR="00713929" w:rsidRDefault="00D708D5">
            <w:pPr>
              <w:jc w:val="center"/>
              <w:rPr>
                <w:rFonts w:hint="eastAsia"/>
                <w:lang w:val="cs-CZ"/>
              </w:rPr>
            </w:pPr>
            <w:r>
              <w:rPr>
                <w:rFonts w:ascii="Times New Roman" w:hAnsi="Times New Roman" w:cs="Times New Roman"/>
                <w:i/>
                <w:lang w:val="cs-CZ" w:eastAsia="cs-CZ"/>
              </w:rPr>
              <w:t>Prof. RNDr. Jan Kratochvíl, CSc.</w:t>
            </w:r>
            <w:r>
              <w:rPr>
                <w:rFonts w:ascii="Times New Roman" w:hAnsi="Times New Roman" w:cs="Times New Roman"/>
                <w:lang w:val="cs-CZ" w:eastAsia="cs-CZ"/>
              </w:rPr>
              <w:t xml:space="preserve"> </w:t>
            </w:r>
          </w:p>
          <w:p w:rsidR="00713929" w:rsidRDefault="00D708D5">
            <w:pPr>
              <w:jc w:val="center"/>
              <w:rPr>
                <w:rFonts w:ascii="Times New Roman" w:hAnsi="Times New Roman" w:cs="Times New Roman"/>
                <w:lang w:eastAsia="cs-CZ"/>
              </w:rPr>
            </w:pPr>
            <w:r>
              <w:rPr>
                <w:rFonts w:ascii="Times New Roman" w:hAnsi="Times New Roman" w:cs="Times New Roman"/>
                <w:lang w:val="cs-CZ" w:eastAsia="cs-CZ"/>
              </w:rPr>
              <w:t>děkan</w:t>
            </w:r>
          </w:p>
        </w:tc>
      </w:tr>
      <w:tr w:rsidR="00713929">
        <w:tc>
          <w:tcPr>
            <w:tcW w:w="8701" w:type="dxa"/>
            <w:gridSpan w:val="2"/>
            <w:shd w:val="clear" w:color="auto" w:fill="auto"/>
          </w:tcPr>
          <w:p w:rsidR="00713929" w:rsidRDefault="00713929">
            <w:pPr>
              <w:pStyle w:val="Seznam-seln0"/>
              <w:shd w:val="clear" w:color="auto" w:fill="FFFFFF"/>
              <w:snapToGrid w:val="0"/>
              <w:spacing w:after="0" w:line="312" w:lineRule="atLeast"/>
              <w:jc w:val="center"/>
              <w:rPr>
                <w:lang w:val="cs-CZ" w:eastAsia="cs-CZ"/>
              </w:rPr>
            </w:pPr>
          </w:p>
          <w:p w:rsidR="00713929" w:rsidRDefault="00713929">
            <w:pPr>
              <w:pStyle w:val="Seznam-seln0"/>
              <w:shd w:val="clear" w:color="auto" w:fill="FFFFFF"/>
              <w:spacing w:after="0" w:line="312" w:lineRule="atLeast"/>
              <w:jc w:val="center"/>
              <w:rPr>
                <w:lang w:val="cs-CZ" w:eastAsia="cs-CZ"/>
              </w:rPr>
            </w:pPr>
          </w:p>
          <w:p w:rsidR="00713929" w:rsidRDefault="00D708D5">
            <w:pPr>
              <w:pStyle w:val="Seznam-seln0"/>
              <w:shd w:val="clear" w:color="auto" w:fill="FFFFFF"/>
              <w:spacing w:after="0" w:line="312" w:lineRule="atLeast"/>
              <w:jc w:val="center"/>
              <w:rPr>
                <w:i/>
              </w:rPr>
            </w:pPr>
            <w:r>
              <w:rPr>
                <w:i/>
                <w:lang w:val="cs-CZ"/>
              </w:rPr>
              <w:t>PhDr. Tomáš Nigrin, Ph.D.</w:t>
            </w:r>
          </w:p>
          <w:p w:rsidR="00713929" w:rsidRDefault="00D708D5">
            <w:pPr>
              <w:spacing w:line="276" w:lineRule="auto"/>
              <w:jc w:val="center"/>
              <w:rPr>
                <w:rFonts w:ascii="Times New Roman" w:hAnsi="Times New Roman" w:cs="Times New Roman"/>
                <w:lang w:eastAsia="cs-CZ"/>
              </w:rPr>
            </w:pPr>
            <w:r>
              <w:rPr>
                <w:rFonts w:ascii="Times New Roman" w:hAnsi="Times New Roman" w:cs="Times New Roman"/>
                <w:lang w:val="cs-CZ" w:eastAsia="cs-CZ"/>
              </w:rPr>
              <w:t>předseda akademického senátu univerzity</w:t>
            </w:r>
          </w:p>
        </w:tc>
      </w:tr>
    </w:tbl>
    <w:p w:rsidR="00713929" w:rsidRDefault="00713929">
      <w:pPr>
        <w:rPr>
          <w:rFonts w:hint="eastAsia"/>
          <w:lang w:val="cs-CZ"/>
        </w:rPr>
      </w:pPr>
    </w:p>
    <w:sectPr w:rsidR="00713929">
      <w:footerReference w:type="default" r:id="rId8"/>
      <w:pgSz w:w="11906" w:h="16838"/>
      <w:pgMar w:top="1134" w:right="1134" w:bottom="1700" w:left="1134" w:header="0" w:footer="1134" w:gutter="0"/>
      <w:cols w:space="708"/>
      <w:formProt w:val="0"/>
      <w:docGrid w:linePitch="312"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540A" w:rsidRDefault="0024540A">
      <w:pPr>
        <w:rPr>
          <w:rFonts w:hint="eastAsia"/>
        </w:rPr>
      </w:pPr>
      <w:r>
        <w:separator/>
      </w:r>
    </w:p>
  </w:endnote>
  <w:endnote w:type="continuationSeparator" w:id="0">
    <w:p w:rsidR="0024540A" w:rsidRDefault="0024540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EE"/>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Liberation Mono">
    <w:altName w:val="Courier New"/>
    <w:charset w:val="EE"/>
    <w:family w:val="roman"/>
    <w:pitch w:val="variable"/>
  </w:font>
  <w:font w:name="NSimSun">
    <w:panose1 w:val="02010609030101010101"/>
    <w:charset w:val="86"/>
    <w:family w:val="modern"/>
    <w:pitch w:val="fixed"/>
    <w:sig w:usb0="00000003" w:usb1="288F0000" w:usb2="00000016" w:usb3="00000000" w:csb0="00040001" w:csb1="00000000"/>
  </w:font>
  <w:font w:name="OpenSymbol">
    <w:altName w:val="Arial Unicode MS"/>
    <w:charset w:val="EE"/>
    <w:family w:val="roman"/>
    <w:pitch w:val="variable"/>
  </w:font>
  <w:font w:name="Tahoma">
    <w:panose1 w:val="020B0604030504040204"/>
    <w:charset w:val="EE"/>
    <w:family w:val="swiss"/>
    <w:pitch w:val="variable"/>
    <w:sig w:usb0="E1002EFF" w:usb1="C000605B" w:usb2="00000029" w:usb3="00000000" w:csb0="000101FF" w:csb1="00000000"/>
  </w:font>
  <w:font w:name="Liberation Sans">
    <w:altName w:val="Arial"/>
    <w:charset w:val="EE"/>
    <w:family w:val="roman"/>
    <w:pitch w:val="variable"/>
  </w:font>
  <w:font w:name="Microsoft YaHei">
    <w:panose1 w:val="020B0503020204020204"/>
    <w:charset w:val="86"/>
    <w:family w:val="swiss"/>
    <w:pitch w:val="variable"/>
    <w:sig w:usb0="80000287" w:usb1="280F3C52" w:usb2="00000016" w:usb3="00000000" w:csb0="0004001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3929" w:rsidRDefault="00D708D5">
    <w:pPr>
      <w:pStyle w:val="Zpat"/>
      <w:jc w:val="center"/>
      <w:rPr>
        <w:rFonts w:hint="eastAsia"/>
      </w:rPr>
    </w:pPr>
    <w:r>
      <w:fldChar w:fldCharType="begin"/>
    </w:r>
    <w:r>
      <w:instrText>PAGE</w:instrText>
    </w:r>
    <w:r>
      <w:fldChar w:fldCharType="separate"/>
    </w:r>
    <w:r w:rsidR="0018021C">
      <w:rPr>
        <w:rFonts w:hint="eastAsia"/>
        <w:noProof/>
      </w:rPr>
      <w:t>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540A" w:rsidRDefault="0024540A">
      <w:pPr>
        <w:rPr>
          <w:rFonts w:hint="eastAsia"/>
        </w:rPr>
      </w:pPr>
      <w:r>
        <w:separator/>
      </w:r>
    </w:p>
  </w:footnote>
  <w:footnote w:type="continuationSeparator" w:id="0">
    <w:p w:rsidR="0024540A" w:rsidRDefault="0024540A">
      <w:pPr>
        <w:rPr>
          <w:rFonts w:hint="eastAsia"/>
        </w:rPr>
      </w:pPr>
      <w:r>
        <w:continuationSeparator/>
      </w:r>
    </w:p>
  </w:footnote>
  <w:footnote w:id="1">
    <w:p w:rsidR="00713929" w:rsidRDefault="00D708D5">
      <w:pPr>
        <w:pStyle w:val="Textpoznpodarou"/>
        <w:rPr>
          <w:rFonts w:hint="eastAsia"/>
        </w:rPr>
      </w:pPr>
      <w:r>
        <w:rPr>
          <w:lang w:val="cs-CZ"/>
        </w:rPr>
        <w:footnoteRef/>
      </w:r>
      <w:r>
        <w:rPr>
          <w:lang w:val="cs-CZ"/>
        </w:rPr>
        <w:t>) § 9 odst. 1 písm. b) bod 2. zákona o vysokých školách. Tento řád byl schválen Akademickým senátem Univerzity Karlovy dne 23. června 2017.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A2F78"/>
    <w:multiLevelType w:val="multilevel"/>
    <w:tmpl w:val="B480018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nsid w:val="0AC14F83"/>
    <w:multiLevelType w:val="multilevel"/>
    <w:tmpl w:val="46BC187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
    <w:nsid w:val="11F22326"/>
    <w:multiLevelType w:val="multilevel"/>
    <w:tmpl w:val="65F85ADC"/>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
    <w:nsid w:val="240040B2"/>
    <w:multiLevelType w:val="multilevel"/>
    <w:tmpl w:val="726E80E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
    <w:nsid w:val="37753D98"/>
    <w:multiLevelType w:val="multilevel"/>
    <w:tmpl w:val="49E0954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nsid w:val="41941439"/>
    <w:multiLevelType w:val="multilevel"/>
    <w:tmpl w:val="F92EE50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6">
    <w:nsid w:val="6637080C"/>
    <w:multiLevelType w:val="multilevel"/>
    <w:tmpl w:val="E68C3C8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nsid w:val="6A2F4FC2"/>
    <w:multiLevelType w:val="multilevel"/>
    <w:tmpl w:val="23B88EE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num w:numId="1">
    <w:abstractNumId w:val="0"/>
  </w:num>
  <w:num w:numId="2">
    <w:abstractNumId w:val="5"/>
  </w:num>
  <w:num w:numId="3">
    <w:abstractNumId w:val="2"/>
  </w:num>
  <w:num w:numId="4">
    <w:abstractNumId w:val="1"/>
  </w:num>
  <w:num w:numId="5">
    <w:abstractNumId w:val="4"/>
  </w:num>
  <w:num w:numId="6">
    <w:abstractNumId w:val="7"/>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713929"/>
    <w:rsid w:val="0018021C"/>
    <w:rsid w:val="0024540A"/>
    <w:rsid w:val="00713929"/>
    <w:rsid w:val="00C702FF"/>
    <w:rsid w:val="00D708D5"/>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Mangal"/>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A4B5C"/>
    <w:rPr>
      <w:color w:val="00000A"/>
      <w:sz w:val="24"/>
      <w:szCs w:val="24"/>
      <w:lang w:val="sk-SK"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umberingSymbols">
    <w:name w:val="Numbering Symbols"/>
    <w:uiPriority w:val="99"/>
    <w:qFormat/>
    <w:rsid w:val="00CA4B5C"/>
  </w:style>
  <w:style w:type="character" w:customStyle="1" w:styleId="SourceText">
    <w:name w:val="Source Text"/>
    <w:uiPriority w:val="99"/>
    <w:qFormat/>
    <w:rsid w:val="00CA4B5C"/>
    <w:rPr>
      <w:rFonts w:ascii="Liberation Mono" w:eastAsia="NSimSun" w:hAnsi="Liberation Mono"/>
    </w:rPr>
  </w:style>
  <w:style w:type="character" w:customStyle="1" w:styleId="WW8Num13z0">
    <w:name w:val="WW8Num13z0"/>
    <w:uiPriority w:val="99"/>
    <w:qFormat/>
    <w:rsid w:val="00CA4B5C"/>
    <w:rPr>
      <w:rFonts w:ascii="Times New Roman" w:hAnsi="Times New Roman"/>
      <w:sz w:val="24"/>
    </w:rPr>
  </w:style>
  <w:style w:type="character" w:customStyle="1" w:styleId="FootnoteAnchor">
    <w:name w:val="Footnote Anchor"/>
    <w:uiPriority w:val="99"/>
    <w:rsid w:val="00CA4B5C"/>
    <w:rPr>
      <w:vertAlign w:val="superscript"/>
    </w:rPr>
  </w:style>
  <w:style w:type="character" w:customStyle="1" w:styleId="FootnoteCharacters">
    <w:name w:val="Footnote Characters"/>
    <w:uiPriority w:val="99"/>
    <w:qFormat/>
    <w:rsid w:val="00CA4B5C"/>
  </w:style>
  <w:style w:type="character" w:customStyle="1" w:styleId="EndnoteAnchor">
    <w:name w:val="Endnote Anchor"/>
    <w:uiPriority w:val="99"/>
    <w:rsid w:val="00CA4B5C"/>
    <w:rPr>
      <w:vertAlign w:val="superscript"/>
    </w:rPr>
  </w:style>
  <w:style w:type="character" w:customStyle="1" w:styleId="EndnoteCharacters">
    <w:name w:val="Endnote Characters"/>
    <w:uiPriority w:val="99"/>
    <w:qFormat/>
    <w:rsid w:val="00CA4B5C"/>
  </w:style>
  <w:style w:type="character" w:customStyle="1" w:styleId="Bullets">
    <w:name w:val="Bullets"/>
    <w:uiPriority w:val="99"/>
    <w:qFormat/>
    <w:rsid w:val="00CA4B5C"/>
    <w:rPr>
      <w:rFonts w:ascii="OpenSymbol" w:hAnsi="OpenSymbol"/>
    </w:rPr>
  </w:style>
  <w:style w:type="character" w:customStyle="1" w:styleId="ZkladntextChar">
    <w:name w:val="Základní text Char"/>
    <w:basedOn w:val="Standardnpsmoodstavce"/>
    <w:link w:val="Zkladntext"/>
    <w:uiPriority w:val="99"/>
    <w:semiHidden/>
    <w:qFormat/>
    <w:locked/>
    <w:rsid w:val="00826CB6"/>
    <w:rPr>
      <w:rFonts w:cs="Times New Roman"/>
      <w:sz w:val="21"/>
      <w:szCs w:val="21"/>
      <w:lang w:val="sk-SK" w:eastAsia="zh-CN" w:bidi="hi-IN"/>
    </w:rPr>
  </w:style>
  <w:style w:type="character" w:customStyle="1" w:styleId="ZpatChar">
    <w:name w:val="Zápatí Char"/>
    <w:basedOn w:val="Standardnpsmoodstavce"/>
    <w:link w:val="Zpat"/>
    <w:uiPriority w:val="99"/>
    <w:semiHidden/>
    <w:qFormat/>
    <w:locked/>
    <w:rsid w:val="00826CB6"/>
    <w:rPr>
      <w:rFonts w:cs="Times New Roman"/>
      <w:sz w:val="21"/>
      <w:szCs w:val="21"/>
      <w:lang w:val="sk-SK" w:eastAsia="zh-CN" w:bidi="hi-IN"/>
    </w:rPr>
  </w:style>
  <w:style w:type="character" w:customStyle="1" w:styleId="TextpoznpodarouChar">
    <w:name w:val="Text pozn. pod čarou Char"/>
    <w:basedOn w:val="Standardnpsmoodstavce"/>
    <w:link w:val="Textpoznpodarou"/>
    <w:uiPriority w:val="99"/>
    <w:semiHidden/>
    <w:qFormat/>
    <w:locked/>
    <w:rsid w:val="00826CB6"/>
    <w:rPr>
      <w:rFonts w:cs="Times New Roman"/>
      <w:sz w:val="18"/>
      <w:szCs w:val="18"/>
      <w:lang w:val="sk-SK" w:eastAsia="zh-CN" w:bidi="hi-IN"/>
    </w:rPr>
  </w:style>
  <w:style w:type="character" w:styleId="Odkaznakoment">
    <w:name w:val="annotation reference"/>
    <w:basedOn w:val="Standardnpsmoodstavce"/>
    <w:uiPriority w:val="99"/>
    <w:semiHidden/>
    <w:qFormat/>
    <w:rsid w:val="000F4BB2"/>
    <w:rPr>
      <w:rFonts w:cs="Times New Roman"/>
      <w:sz w:val="16"/>
      <w:szCs w:val="16"/>
    </w:rPr>
  </w:style>
  <w:style w:type="character" w:customStyle="1" w:styleId="TextkomenteChar">
    <w:name w:val="Text komentáře Char"/>
    <w:basedOn w:val="Standardnpsmoodstavce"/>
    <w:link w:val="Textkomente"/>
    <w:uiPriority w:val="99"/>
    <w:semiHidden/>
    <w:qFormat/>
    <w:locked/>
    <w:rsid w:val="000F4BB2"/>
    <w:rPr>
      <w:rFonts w:cs="Times New Roman"/>
      <w:sz w:val="18"/>
      <w:szCs w:val="18"/>
    </w:rPr>
  </w:style>
  <w:style w:type="character" w:customStyle="1" w:styleId="PedmtkomenteChar">
    <w:name w:val="Předmět komentáře Char"/>
    <w:basedOn w:val="TextkomenteChar"/>
    <w:link w:val="Pedmtkomente"/>
    <w:uiPriority w:val="99"/>
    <w:semiHidden/>
    <w:qFormat/>
    <w:locked/>
    <w:rsid w:val="000F4BB2"/>
    <w:rPr>
      <w:rFonts w:cs="Times New Roman"/>
      <w:b/>
      <w:bCs/>
      <w:sz w:val="18"/>
      <w:szCs w:val="18"/>
    </w:rPr>
  </w:style>
  <w:style w:type="character" w:customStyle="1" w:styleId="TextbublinyChar">
    <w:name w:val="Text bubliny Char"/>
    <w:basedOn w:val="Standardnpsmoodstavce"/>
    <w:link w:val="Textbubliny"/>
    <w:uiPriority w:val="99"/>
    <w:semiHidden/>
    <w:qFormat/>
    <w:locked/>
    <w:rsid w:val="000F4BB2"/>
    <w:rPr>
      <w:rFonts w:ascii="Tahoma" w:hAnsi="Tahoma" w:cs="Times New Roman"/>
      <w:sz w:val="14"/>
      <w:szCs w:val="14"/>
    </w:rPr>
  </w:style>
  <w:style w:type="character" w:customStyle="1" w:styleId="ListLabel1">
    <w:name w:val="ListLabel 1"/>
    <w:qFormat/>
    <w:rPr>
      <w:rFonts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sz w:val="24"/>
      <w:szCs w:val="24"/>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cs="Times New Roman"/>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Symbol"/>
    </w:rPr>
  </w:style>
  <w:style w:type="character" w:customStyle="1" w:styleId="ListLabel44">
    <w:name w:val="ListLabel 44"/>
    <w:qFormat/>
    <w:rPr>
      <w:rFonts w:cs="Symbol"/>
    </w:rPr>
  </w:style>
  <w:style w:type="character" w:customStyle="1" w:styleId="ListLabel45">
    <w:name w:val="ListLabel 45"/>
    <w:qFormat/>
    <w:rPr>
      <w:rFonts w:cs="Symbol"/>
    </w:rPr>
  </w:style>
  <w:style w:type="character" w:customStyle="1" w:styleId="ListLabel46">
    <w:name w:val="ListLabel 46"/>
    <w:qFormat/>
    <w:rPr>
      <w:rFonts w:cs="Symbol"/>
    </w:rPr>
  </w:style>
  <w:style w:type="character" w:customStyle="1" w:styleId="ListLabel47">
    <w:name w:val="ListLabel 47"/>
    <w:qFormat/>
    <w:rPr>
      <w:rFonts w:cs="Symbol"/>
    </w:rPr>
  </w:style>
  <w:style w:type="character" w:customStyle="1" w:styleId="ListLabel48">
    <w:name w:val="ListLabel 48"/>
    <w:qFormat/>
    <w:rPr>
      <w:rFonts w:cs="Symbol"/>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Symbol"/>
    </w:rPr>
  </w:style>
  <w:style w:type="character" w:customStyle="1" w:styleId="ListLabel53">
    <w:name w:val="ListLabel 53"/>
    <w:qFormat/>
    <w:rPr>
      <w:rFonts w:cs="Symbol"/>
    </w:rPr>
  </w:style>
  <w:style w:type="character" w:customStyle="1" w:styleId="ListLabel54">
    <w:name w:val="ListLabel 54"/>
    <w:qFormat/>
    <w:rPr>
      <w:rFonts w:cs="Symbol"/>
    </w:rPr>
  </w:style>
  <w:style w:type="character" w:customStyle="1" w:styleId="ListLabel55">
    <w:name w:val="ListLabel 55"/>
    <w:qFormat/>
    <w:rPr>
      <w:rFonts w:cs="Symbol"/>
    </w:rPr>
  </w:style>
  <w:style w:type="character" w:customStyle="1" w:styleId="ListLabel56">
    <w:name w:val="ListLabel 56"/>
    <w:qFormat/>
    <w:rPr>
      <w:rFonts w:cs="Symbol"/>
    </w:rPr>
  </w:style>
  <w:style w:type="character" w:customStyle="1" w:styleId="ListLabel57">
    <w:name w:val="ListLabel 57"/>
    <w:qFormat/>
    <w:rPr>
      <w:rFonts w:cs="Symbol"/>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Symbol"/>
    </w:rPr>
  </w:style>
  <w:style w:type="character" w:customStyle="1" w:styleId="ListLabel62">
    <w:name w:val="ListLabel 62"/>
    <w:qFormat/>
    <w:rPr>
      <w:rFonts w:cs="Symbol"/>
    </w:rPr>
  </w:style>
  <w:style w:type="character" w:customStyle="1" w:styleId="ListLabel63">
    <w:name w:val="ListLabel 63"/>
    <w:qFormat/>
    <w:rPr>
      <w:rFonts w:cs="Symbol"/>
    </w:rPr>
  </w:style>
  <w:style w:type="character" w:customStyle="1" w:styleId="ListLabel64">
    <w:name w:val="ListLabel 64"/>
    <w:qFormat/>
    <w:rPr>
      <w:rFonts w:cs="Symbol"/>
    </w:rPr>
  </w:style>
  <w:style w:type="character" w:customStyle="1" w:styleId="ListLabel65">
    <w:name w:val="ListLabel 65"/>
    <w:qFormat/>
    <w:rPr>
      <w:rFonts w:cs="Symbol"/>
    </w:rPr>
  </w:style>
  <w:style w:type="character" w:customStyle="1" w:styleId="ListLabel66">
    <w:name w:val="ListLabel 66"/>
    <w:qFormat/>
    <w:rPr>
      <w:rFonts w:cs="Symbol"/>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Symbol"/>
    </w:rPr>
  </w:style>
  <w:style w:type="character" w:customStyle="1" w:styleId="ListLabel71">
    <w:name w:val="ListLabel 71"/>
    <w:qFormat/>
    <w:rPr>
      <w:rFonts w:cs="Symbol"/>
    </w:rPr>
  </w:style>
  <w:style w:type="character" w:customStyle="1" w:styleId="ListLabel72">
    <w:name w:val="ListLabel 72"/>
    <w:qFormat/>
    <w:rPr>
      <w:rFonts w:cs="Symbol"/>
    </w:rPr>
  </w:style>
  <w:style w:type="character" w:customStyle="1" w:styleId="ListLabel73">
    <w:name w:val="ListLabel 73"/>
    <w:qFormat/>
    <w:rPr>
      <w:rFonts w:cs="Symbol"/>
    </w:rPr>
  </w:style>
  <w:style w:type="character" w:customStyle="1" w:styleId="ListLabel74">
    <w:name w:val="ListLabel 74"/>
    <w:qFormat/>
    <w:rPr>
      <w:rFonts w:cs="Symbol"/>
    </w:rPr>
  </w:style>
  <w:style w:type="character" w:customStyle="1" w:styleId="ListLabel75">
    <w:name w:val="ListLabel 75"/>
    <w:qFormat/>
    <w:rPr>
      <w:rFonts w:cs="Symbol"/>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Symbol"/>
    </w:rPr>
  </w:style>
  <w:style w:type="character" w:customStyle="1" w:styleId="ListLabel80">
    <w:name w:val="ListLabel 80"/>
    <w:qFormat/>
    <w:rPr>
      <w:rFonts w:cs="Symbol"/>
    </w:rPr>
  </w:style>
  <w:style w:type="character" w:customStyle="1" w:styleId="ListLabel81">
    <w:name w:val="ListLabel 81"/>
    <w:qFormat/>
    <w:rPr>
      <w:rFonts w:cs="Symbol"/>
    </w:rPr>
  </w:style>
  <w:style w:type="character" w:customStyle="1" w:styleId="ListLabel82">
    <w:name w:val="ListLabel 82"/>
    <w:qFormat/>
    <w:rPr>
      <w:rFonts w:cs="Symbol"/>
    </w:rPr>
  </w:style>
  <w:style w:type="character" w:customStyle="1" w:styleId="ListLabel83">
    <w:name w:val="ListLabel 83"/>
    <w:qFormat/>
    <w:rPr>
      <w:rFonts w:cs="Symbol"/>
    </w:rPr>
  </w:style>
  <w:style w:type="character" w:customStyle="1" w:styleId="ListLabel84">
    <w:name w:val="ListLabel 84"/>
    <w:qFormat/>
    <w:rPr>
      <w:rFonts w:cs="Symbol"/>
    </w:rPr>
  </w:style>
  <w:style w:type="character" w:customStyle="1" w:styleId="ListLabel85">
    <w:name w:val="ListLabel 85"/>
    <w:qFormat/>
    <w:rPr>
      <w:rFonts w:cs="Times New Roman"/>
    </w:rPr>
  </w:style>
  <w:style w:type="character" w:customStyle="1" w:styleId="ListLabel86">
    <w:name w:val="ListLabel 86"/>
    <w:qFormat/>
    <w:rPr>
      <w:rFonts w:cs="Times New Roman"/>
    </w:rPr>
  </w:style>
  <w:style w:type="character" w:customStyle="1" w:styleId="ListLabel87">
    <w:name w:val="ListLabel 87"/>
    <w:qFormat/>
    <w:rPr>
      <w:rFonts w:cs="Times New Roman"/>
    </w:rPr>
  </w:style>
  <w:style w:type="character" w:customStyle="1" w:styleId="ListLabel88">
    <w:name w:val="ListLabel 88"/>
    <w:qFormat/>
    <w:rPr>
      <w:rFonts w:cs="Symbol"/>
    </w:rPr>
  </w:style>
  <w:style w:type="character" w:customStyle="1" w:styleId="ListLabel89">
    <w:name w:val="ListLabel 89"/>
    <w:qFormat/>
    <w:rPr>
      <w:rFonts w:cs="Symbol"/>
    </w:rPr>
  </w:style>
  <w:style w:type="character" w:customStyle="1" w:styleId="ListLabel90">
    <w:name w:val="ListLabel 90"/>
    <w:qFormat/>
    <w:rPr>
      <w:rFonts w:cs="Symbol"/>
    </w:rPr>
  </w:style>
  <w:style w:type="character" w:customStyle="1" w:styleId="ListLabel91">
    <w:name w:val="ListLabel 91"/>
    <w:qFormat/>
    <w:rPr>
      <w:rFonts w:cs="Symbol"/>
    </w:rPr>
  </w:style>
  <w:style w:type="character" w:customStyle="1" w:styleId="ListLabel92">
    <w:name w:val="ListLabel 92"/>
    <w:qFormat/>
    <w:rPr>
      <w:rFonts w:cs="Symbol"/>
    </w:rPr>
  </w:style>
  <w:style w:type="character" w:customStyle="1" w:styleId="ListLabel93">
    <w:name w:val="ListLabel 93"/>
    <w:qFormat/>
    <w:rPr>
      <w:rFonts w:cs="Symbol"/>
    </w:rPr>
  </w:style>
  <w:style w:type="character" w:customStyle="1" w:styleId="ListLabel94">
    <w:name w:val="ListLabel 94"/>
    <w:qFormat/>
    <w:rPr>
      <w:rFonts w:cs="Times New Roman"/>
    </w:rPr>
  </w:style>
  <w:style w:type="character" w:customStyle="1" w:styleId="ListLabel95">
    <w:name w:val="ListLabel 95"/>
    <w:qFormat/>
    <w:rPr>
      <w:rFonts w:cs="Times New Roman"/>
    </w:rPr>
  </w:style>
  <w:style w:type="character" w:customStyle="1" w:styleId="ListLabel96">
    <w:name w:val="ListLabel 96"/>
    <w:qFormat/>
    <w:rPr>
      <w:rFonts w:cs="Times New Roman"/>
    </w:rPr>
  </w:style>
  <w:style w:type="character" w:customStyle="1" w:styleId="ListLabel97">
    <w:name w:val="ListLabel 97"/>
    <w:qFormat/>
    <w:rPr>
      <w:rFonts w:cs="Symbol"/>
    </w:rPr>
  </w:style>
  <w:style w:type="character" w:customStyle="1" w:styleId="ListLabel98">
    <w:name w:val="ListLabel 98"/>
    <w:qFormat/>
    <w:rPr>
      <w:rFonts w:cs="Symbol"/>
    </w:rPr>
  </w:style>
  <w:style w:type="character" w:customStyle="1" w:styleId="ListLabel99">
    <w:name w:val="ListLabel 99"/>
    <w:qFormat/>
    <w:rPr>
      <w:rFonts w:cs="Symbol"/>
    </w:rPr>
  </w:style>
  <w:style w:type="character" w:customStyle="1" w:styleId="ListLabel100">
    <w:name w:val="ListLabel 100"/>
    <w:qFormat/>
    <w:rPr>
      <w:rFonts w:cs="Symbol"/>
    </w:rPr>
  </w:style>
  <w:style w:type="character" w:customStyle="1" w:styleId="ListLabel101">
    <w:name w:val="ListLabel 101"/>
    <w:qFormat/>
    <w:rPr>
      <w:rFonts w:cs="Symbol"/>
    </w:rPr>
  </w:style>
  <w:style w:type="character" w:customStyle="1" w:styleId="ListLabel102">
    <w:name w:val="ListLabel 102"/>
    <w:qFormat/>
    <w:rPr>
      <w:rFonts w:cs="Symbol"/>
    </w:rPr>
  </w:style>
  <w:style w:type="paragraph" w:customStyle="1" w:styleId="Heading">
    <w:name w:val="Heading"/>
    <w:basedOn w:val="Normln"/>
    <w:next w:val="Zkladntext"/>
    <w:uiPriority w:val="99"/>
    <w:qFormat/>
    <w:rsid w:val="00CA4B5C"/>
    <w:pPr>
      <w:keepNext/>
      <w:spacing w:before="240" w:after="120"/>
    </w:pPr>
    <w:rPr>
      <w:rFonts w:ascii="Liberation Sans" w:eastAsia="Microsoft YaHei" w:hAnsi="Liberation Sans"/>
      <w:sz w:val="28"/>
      <w:szCs w:val="28"/>
    </w:rPr>
  </w:style>
  <w:style w:type="paragraph" w:styleId="Zkladntext">
    <w:name w:val="Body Text"/>
    <w:basedOn w:val="Normln"/>
    <w:link w:val="ZkladntextChar"/>
    <w:uiPriority w:val="99"/>
    <w:rsid w:val="00CA4B5C"/>
    <w:pPr>
      <w:spacing w:after="140" w:line="288" w:lineRule="auto"/>
    </w:pPr>
  </w:style>
  <w:style w:type="paragraph" w:styleId="Seznam">
    <w:name w:val="List"/>
    <w:basedOn w:val="Zkladntext"/>
    <w:uiPriority w:val="99"/>
    <w:rsid w:val="00CA4B5C"/>
  </w:style>
  <w:style w:type="paragraph" w:styleId="Titulek">
    <w:name w:val="caption"/>
    <w:basedOn w:val="Normln"/>
    <w:uiPriority w:val="99"/>
    <w:qFormat/>
    <w:rsid w:val="00CA4B5C"/>
    <w:pPr>
      <w:suppressLineNumbers/>
      <w:spacing w:before="120" w:after="120"/>
    </w:pPr>
    <w:rPr>
      <w:i/>
      <w:iCs/>
    </w:rPr>
  </w:style>
  <w:style w:type="paragraph" w:customStyle="1" w:styleId="Index">
    <w:name w:val="Index"/>
    <w:basedOn w:val="Normln"/>
    <w:uiPriority w:val="99"/>
    <w:qFormat/>
    <w:rsid w:val="00CA4B5C"/>
    <w:pPr>
      <w:suppressLineNumbers/>
    </w:pPr>
  </w:style>
  <w:style w:type="paragraph" w:customStyle="1" w:styleId="Default">
    <w:name w:val="Default"/>
    <w:uiPriority w:val="99"/>
    <w:qFormat/>
    <w:rsid w:val="00CA4B5C"/>
    <w:pPr>
      <w:widowControl w:val="0"/>
      <w:suppressAutoHyphens/>
    </w:pPr>
    <w:rPr>
      <w:rFonts w:ascii="Times New Roman" w:hAnsi="Times New Roman"/>
      <w:color w:val="000000"/>
      <w:sz w:val="24"/>
      <w:szCs w:val="24"/>
      <w:lang w:val="sk-SK" w:eastAsia="zh-CN" w:bidi="hi-IN"/>
    </w:rPr>
  </w:style>
  <w:style w:type="paragraph" w:styleId="Zpat">
    <w:name w:val="footer"/>
    <w:basedOn w:val="Normln"/>
    <w:link w:val="ZpatChar"/>
    <w:uiPriority w:val="99"/>
    <w:rsid w:val="00CA4B5C"/>
  </w:style>
  <w:style w:type="paragraph" w:customStyle="1" w:styleId="clanek">
    <w:name w:val="clanek"/>
    <w:basedOn w:val="Normln"/>
    <w:next w:val="Normln"/>
    <w:uiPriority w:val="99"/>
    <w:qFormat/>
    <w:rsid w:val="00CA4B5C"/>
    <w:pPr>
      <w:keepNext/>
      <w:spacing w:before="397" w:after="283"/>
      <w:jc w:val="center"/>
    </w:pPr>
    <w:rPr>
      <w:rFonts w:ascii="Times New Roman" w:hAnsi="Times New Roman"/>
      <w:b/>
    </w:rPr>
  </w:style>
  <w:style w:type="paragraph" w:customStyle="1" w:styleId="Seznam-seln0">
    <w:name w:val="Seznam - číselný (0)"/>
    <w:basedOn w:val="Normln"/>
    <w:uiPriority w:val="99"/>
    <w:qFormat/>
    <w:rsid w:val="00CA4B5C"/>
    <w:pPr>
      <w:widowControl w:val="0"/>
      <w:spacing w:after="120" w:line="276" w:lineRule="auto"/>
      <w:jc w:val="both"/>
      <w:textAlignment w:val="baseline"/>
    </w:pPr>
    <w:rPr>
      <w:rFonts w:ascii="Times New Roman" w:hAnsi="Times New Roman" w:cs="Times New Roman"/>
    </w:rPr>
  </w:style>
  <w:style w:type="paragraph" w:styleId="Textpoznpodarou">
    <w:name w:val="footnote text"/>
    <w:basedOn w:val="Normln"/>
    <w:link w:val="TextpoznpodarouChar"/>
  </w:style>
  <w:style w:type="paragraph" w:customStyle="1" w:styleId="nazev">
    <w:name w:val="nazev"/>
    <w:basedOn w:val="Normln"/>
    <w:uiPriority w:val="99"/>
    <w:qFormat/>
    <w:rsid w:val="00CA4B5C"/>
    <w:pPr>
      <w:spacing w:after="170"/>
      <w:jc w:val="center"/>
    </w:pPr>
    <w:rPr>
      <w:rFonts w:ascii="Times New Roman" w:hAnsi="Times New Roman" w:cs="Times New Roman"/>
      <w:b/>
      <w:sz w:val="32"/>
      <w:szCs w:val="32"/>
      <w:lang w:val="cs-CZ"/>
    </w:rPr>
  </w:style>
  <w:style w:type="paragraph" w:styleId="Textkomente">
    <w:name w:val="annotation text"/>
    <w:basedOn w:val="Normln"/>
    <w:link w:val="TextkomenteChar"/>
    <w:uiPriority w:val="99"/>
    <w:semiHidden/>
    <w:qFormat/>
    <w:rsid w:val="000F4BB2"/>
    <w:rPr>
      <w:sz w:val="20"/>
      <w:szCs w:val="18"/>
    </w:rPr>
  </w:style>
  <w:style w:type="paragraph" w:styleId="Pedmtkomente">
    <w:name w:val="annotation subject"/>
    <w:basedOn w:val="Textkomente"/>
    <w:link w:val="PedmtkomenteChar"/>
    <w:uiPriority w:val="99"/>
    <w:semiHidden/>
    <w:qFormat/>
    <w:rsid w:val="000F4BB2"/>
    <w:rPr>
      <w:b/>
      <w:bCs/>
    </w:rPr>
  </w:style>
  <w:style w:type="paragraph" w:styleId="Textbubliny">
    <w:name w:val="Balloon Text"/>
    <w:basedOn w:val="Normln"/>
    <w:link w:val="TextbublinyChar"/>
    <w:uiPriority w:val="99"/>
    <w:semiHidden/>
    <w:qFormat/>
    <w:rsid w:val="000F4BB2"/>
    <w:rPr>
      <w:rFonts w:ascii="Tahoma" w:hAnsi="Tahoma"/>
      <w:sz w:val="16"/>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1207</Words>
  <Characters>7127</Characters>
  <Application>Microsoft Office Word</Application>
  <DocSecurity>0</DocSecurity>
  <Lines>59</Lines>
  <Paragraphs>16</Paragraphs>
  <ScaleCrop>false</ScaleCrop>
  <Company>Univerzita Karlova v Praze, Právnická Fakulta</Company>
  <LinksUpToDate>false</LinksUpToDate>
  <CharactersWithSpaces>8318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JEDNACÍ ŘÁD VĚDECKÉ RADY</dc:title>
  <dc:subject/>
  <dc:creator>Peter Korcsok</dc:creator>
  <dc:description/>
  <cp:lastModifiedBy>Univerzita Karlova v Praze</cp:lastModifiedBy>
  <cp:revision>9</cp:revision>
  <dcterms:created xsi:type="dcterms:W3CDTF">2017-06-12T21:38:00Z</dcterms:created>
  <dcterms:modified xsi:type="dcterms:W3CDTF">2017-10-04T14:52:00Z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Univerzita Karlova v Praze, Právnická Fakulta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