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6C" w:rsidRPr="00041093" w:rsidRDefault="00041093" w:rsidP="0004109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41093">
        <w:rPr>
          <w:rFonts w:ascii="Arial" w:hAnsi="Arial" w:cs="Arial"/>
          <w:b/>
        </w:rPr>
        <w:t>V</w:t>
      </w:r>
      <w:r w:rsidR="00A54637" w:rsidRPr="00041093">
        <w:rPr>
          <w:rFonts w:ascii="Arial" w:hAnsi="Arial" w:cs="Arial"/>
          <w:b/>
        </w:rPr>
        <w:t xml:space="preserve">ypořádání návrhů na zjednodušení </w:t>
      </w:r>
      <w:r w:rsidR="00104F9C">
        <w:rPr>
          <w:rFonts w:ascii="Arial" w:hAnsi="Arial" w:cs="Arial"/>
          <w:b/>
        </w:rPr>
        <w:t>administrace</w:t>
      </w:r>
      <w:r w:rsidR="00A54637" w:rsidRPr="00041093">
        <w:rPr>
          <w:rFonts w:ascii="Arial" w:hAnsi="Arial" w:cs="Arial"/>
          <w:b/>
        </w:rPr>
        <w:t xml:space="preserve"> Programů rozvoje vědních oblastí na UK (PRVOUK)</w:t>
      </w:r>
    </w:p>
    <w:p w:rsidR="00C504B8" w:rsidRDefault="00C504B8">
      <w:pPr>
        <w:rPr>
          <w:rFonts w:ascii="Arial" w:hAnsi="Arial" w:cs="Arial"/>
          <w:sz w:val="20"/>
          <w:szCs w:val="20"/>
        </w:rPr>
      </w:pPr>
    </w:p>
    <w:p w:rsidR="00041093" w:rsidRDefault="00041093">
      <w:pPr>
        <w:rPr>
          <w:rFonts w:ascii="Arial" w:hAnsi="Arial" w:cs="Arial"/>
          <w:sz w:val="20"/>
          <w:szCs w:val="20"/>
        </w:rPr>
      </w:pPr>
    </w:p>
    <w:p w:rsidR="00A54637" w:rsidRPr="008351CB" w:rsidRDefault="00A54637">
      <w:pPr>
        <w:rPr>
          <w:rFonts w:ascii="Arial" w:hAnsi="Arial" w:cs="Arial"/>
          <w:color w:val="000080"/>
        </w:rPr>
      </w:pPr>
      <w:r w:rsidRPr="008351CB">
        <w:rPr>
          <w:rFonts w:ascii="Arial" w:hAnsi="Arial" w:cs="Arial"/>
          <w:b/>
          <w:color w:val="000080"/>
        </w:rPr>
        <w:t xml:space="preserve">1. Podpisy oficiálních materiálů (průběžných zpráv, návrhů </w:t>
      </w:r>
      <w:r w:rsidR="00546400">
        <w:rPr>
          <w:rFonts w:ascii="Arial" w:hAnsi="Arial" w:cs="Arial"/>
          <w:b/>
          <w:color w:val="000080"/>
        </w:rPr>
        <w:t>rozdělení finančních prostředků</w:t>
      </w:r>
      <w:r w:rsidRPr="008351CB">
        <w:rPr>
          <w:rFonts w:ascii="Arial" w:hAnsi="Arial" w:cs="Arial"/>
          <w:b/>
          <w:color w:val="000080"/>
        </w:rPr>
        <w:t>)</w:t>
      </w:r>
    </w:p>
    <w:p w:rsidR="00C504B8" w:rsidRPr="00C504B8" w:rsidRDefault="00C504B8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B32D00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2D00" w:rsidRPr="00C66F41" w:rsidRDefault="00B32D00" w:rsidP="00C66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D00" w:rsidRPr="00C66F41" w:rsidRDefault="00B32D00" w:rsidP="00C66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54637" w:rsidRPr="00C66F41" w:rsidRDefault="008B51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  <w:bottom w:val="single" w:sz="4" w:space="0" w:color="auto"/>
            </w:tcBorders>
          </w:tcPr>
          <w:p w:rsidR="00A54637" w:rsidRPr="00C66F41" w:rsidRDefault="007C5708" w:rsidP="00C66F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="00A54637" w:rsidRPr="00C66F41">
              <w:rPr>
                <w:rFonts w:ascii="Arial" w:hAnsi="Arial" w:cs="Arial"/>
                <w:sz w:val="20"/>
                <w:szCs w:val="20"/>
                <w:u w:val="single"/>
              </w:rPr>
              <w:t xml:space="preserve"> programů, do nichž je zapojeno více fakult, je poměrně obtížné sehnat do průběžných (bilančních) zpráv všechny potřebné podpisy</w:t>
            </w:r>
            <w:r w:rsidR="00A54637" w:rsidRPr="00C66F41">
              <w:rPr>
                <w:rFonts w:ascii="Arial" w:hAnsi="Arial" w:cs="Arial"/>
                <w:sz w:val="20"/>
                <w:szCs w:val="20"/>
              </w:rPr>
              <w:t xml:space="preserve"> (tj. podpis koordinátora a děkanů všech fakult </w:t>
            </w:r>
            <w:r w:rsidR="00077740" w:rsidRPr="00C66F41">
              <w:rPr>
                <w:rFonts w:ascii="Arial" w:hAnsi="Arial" w:cs="Arial"/>
                <w:sz w:val="20"/>
                <w:szCs w:val="20"/>
              </w:rPr>
              <w:t xml:space="preserve">/ředitelů jiných součástí/ </w:t>
            </w:r>
            <w:r w:rsidR="00A54637" w:rsidRPr="00C66F41">
              <w:rPr>
                <w:rFonts w:ascii="Arial" w:hAnsi="Arial" w:cs="Arial"/>
                <w:sz w:val="20"/>
                <w:szCs w:val="20"/>
              </w:rPr>
              <w:t>zapojených do programu).</w:t>
            </w:r>
          </w:p>
          <w:p w:rsidR="004019AF" w:rsidRPr="00C66F41" w:rsidRDefault="004019AF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Podobná připomínka: „Agenda programů realizovaných na více fakultách je příliš složitá – podklady se musejí odevzdávat dříve, aby mohly být dostatečně prostudovány na všech participujících pracovištích,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je třeba získat tradiční podpisy na papírových verzích materiálů, nelze vhodně užívat elektronickou komunikaci (např. pro souhlas)</w:t>
            </w:r>
            <w:r w:rsidRPr="00C66F41">
              <w:rPr>
                <w:rFonts w:ascii="Arial" w:hAnsi="Arial" w:cs="Arial"/>
                <w:sz w:val="20"/>
                <w:szCs w:val="20"/>
              </w:rPr>
              <w:t>. Časově a organizačně je tento proces velmi náročný.“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012" w:rsidRPr="00C66F41" w:rsidRDefault="004019AF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Z větší části s</w:t>
            </w:r>
            <w:r w:rsidR="00DF23CB" w:rsidRPr="00C66F41">
              <w:rPr>
                <w:rFonts w:ascii="Arial" w:hAnsi="Arial" w:cs="Arial"/>
                <w:sz w:val="20"/>
                <w:szCs w:val="20"/>
              </w:rPr>
              <w:t>ouhlasíme a</w:t>
            </w:r>
            <w:r w:rsidR="00611F41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740" w:rsidRPr="00C66F41">
              <w:rPr>
                <w:rFonts w:ascii="Arial" w:hAnsi="Arial" w:cs="Arial"/>
                <w:sz w:val="20"/>
                <w:szCs w:val="20"/>
              </w:rPr>
              <w:t xml:space="preserve">navrhujeme zjednodušení. </w:t>
            </w:r>
            <w:r w:rsidR="000A3012" w:rsidRPr="00C66F41">
              <w:rPr>
                <w:rFonts w:ascii="Arial" w:hAnsi="Arial" w:cs="Arial"/>
                <w:sz w:val="20"/>
                <w:szCs w:val="20"/>
              </w:rPr>
              <w:t xml:space="preserve">Napříště by mělo být možné, aby průběžnou zprávu o realizaci společného programu podepsal </w:t>
            </w:r>
            <w:r w:rsidR="00B344D1" w:rsidRPr="00C66F41">
              <w:rPr>
                <w:rFonts w:ascii="Arial" w:hAnsi="Arial" w:cs="Arial"/>
                <w:sz w:val="20"/>
                <w:szCs w:val="20"/>
              </w:rPr>
              <w:t xml:space="preserve">jen koordinátor; souhlas děkanů participujících fakult (ředitelů jiných součástí) se zněním zprávy postačí například ve formě přiložených e-mailových zpráv. Případně </w:t>
            </w:r>
            <w:r w:rsidR="00BC5CDF" w:rsidRPr="00C66F41">
              <w:rPr>
                <w:rFonts w:ascii="Arial" w:hAnsi="Arial" w:cs="Arial"/>
                <w:sz w:val="20"/>
                <w:szCs w:val="20"/>
              </w:rPr>
              <w:t>zprávu podepíše koordinátor a děkan jedné ze zúčastněných fakult</w:t>
            </w:r>
            <w:r w:rsidR="004C3923" w:rsidRPr="00C66F41">
              <w:rPr>
                <w:rFonts w:ascii="Arial" w:hAnsi="Arial" w:cs="Arial"/>
                <w:sz w:val="20"/>
                <w:szCs w:val="20"/>
              </w:rPr>
              <w:t>,</w:t>
            </w:r>
            <w:r w:rsidR="00BC5CDF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3" w:rsidRPr="00C66F41">
              <w:rPr>
                <w:rFonts w:ascii="Arial" w:hAnsi="Arial" w:cs="Arial"/>
                <w:sz w:val="20"/>
                <w:szCs w:val="20"/>
              </w:rPr>
              <w:t>kterému děkani ostatních fakult udělí k podpisu plnou moc</w:t>
            </w:r>
            <w:r w:rsidR="00B344D1" w:rsidRPr="00C66F41">
              <w:rPr>
                <w:rFonts w:ascii="Arial" w:hAnsi="Arial" w:cs="Arial"/>
                <w:sz w:val="20"/>
                <w:szCs w:val="20"/>
              </w:rPr>
              <w:t>.</w:t>
            </w:r>
            <w:r w:rsidR="00BC5CDF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4D1" w:rsidRPr="00C66F41">
              <w:rPr>
                <w:rFonts w:ascii="Arial" w:hAnsi="Arial" w:cs="Arial"/>
                <w:sz w:val="20"/>
                <w:szCs w:val="20"/>
              </w:rPr>
              <w:t>Bude záležet</w:t>
            </w:r>
            <w:r w:rsidR="000A3012" w:rsidRPr="00C66F41">
              <w:rPr>
                <w:rFonts w:ascii="Arial" w:hAnsi="Arial" w:cs="Arial"/>
                <w:sz w:val="20"/>
                <w:szCs w:val="20"/>
              </w:rPr>
              <w:t xml:space="preserve"> na vzájemné domluvě děkanů</w:t>
            </w:r>
            <w:r w:rsidR="004C3923" w:rsidRPr="00C66F41">
              <w:rPr>
                <w:rFonts w:ascii="Arial" w:hAnsi="Arial" w:cs="Arial"/>
                <w:sz w:val="20"/>
                <w:szCs w:val="20"/>
              </w:rPr>
              <w:t>;</w:t>
            </w:r>
            <w:r w:rsidR="000A3012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3" w:rsidRPr="00C66F41">
              <w:rPr>
                <w:rFonts w:ascii="Arial" w:hAnsi="Arial" w:cs="Arial"/>
                <w:sz w:val="20"/>
                <w:szCs w:val="20"/>
              </w:rPr>
              <w:t>v případě jejich zájmu může být zachován i stávající systém podpisů.</w:t>
            </w:r>
          </w:p>
          <w:p w:rsidR="004019AF" w:rsidRPr="00C66F41" w:rsidRDefault="004019AF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Podotýkáme, že fakulty, které se podílejí na realizaci společných programů, získávají finanční bonifikaci.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A54637" w:rsidRPr="00C66F41" w:rsidRDefault="008B512D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A54637" w:rsidRPr="00C66F41" w:rsidRDefault="007C5708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„I</w:t>
            </w:r>
            <w:r w:rsidR="008B512D" w:rsidRPr="00C66F41">
              <w:rPr>
                <w:rFonts w:ascii="Arial" w:hAnsi="Arial" w:cs="Arial"/>
                <w:sz w:val="20"/>
                <w:szCs w:val="20"/>
              </w:rPr>
              <w:t>deální by bylo přenést distribuci prostředků PRVOUK na úroveň fakult – fakulta by dostala celou částku a rozdělila sama mezi PRVOUK, a nebylo by tak třeba únorových podpisových koleček“.</w:t>
            </w: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CC68CA" w:rsidRPr="00C66F41" w:rsidRDefault="008B512D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Po zkušenostech z uplynulých dvou let nepovažujeme takovýto krok za vhodný. </w:t>
            </w:r>
            <w:r w:rsidR="00C504B8" w:rsidRPr="00C66F41">
              <w:rPr>
                <w:rFonts w:ascii="Arial" w:hAnsi="Arial" w:cs="Arial"/>
                <w:sz w:val="20"/>
                <w:szCs w:val="20"/>
              </w:rPr>
              <w:t xml:space="preserve">Navrhujeme však zjednodušit </w:t>
            </w:r>
            <w:r w:rsidR="009236C1" w:rsidRPr="00C66F41">
              <w:rPr>
                <w:rFonts w:ascii="Arial" w:hAnsi="Arial" w:cs="Arial"/>
                <w:sz w:val="20"/>
                <w:szCs w:val="20"/>
              </w:rPr>
              <w:t xml:space="preserve">povinnosti týkající se podpisů </w:t>
            </w:r>
            <w:r w:rsidR="00CC68CA" w:rsidRPr="00C66F41">
              <w:rPr>
                <w:rFonts w:ascii="Arial" w:hAnsi="Arial" w:cs="Arial"/>
                <w:sz w:val="20"/>
                <w:szCs w:val="20"/>
              </w:rPr>
              <w:t>návrhů na rozdělení finančních prostředků mezi jednotlivé PR</w:t>
            </w:r>
            <w:r w:rsidR="000A3012" w:rsidRPr="00C66F41">
              <w:rPr>
                <w:rFonts w:ascii="Arial" w:hAnsi="Arial" w:cs="Arial"/>
                <w:sz w:val="20"/>
                <w:szCs w:val="20"/>
              </w:rPr>
              <w:t xml:space="preserve">VOUKy uskutečňované na fakultě. Napříště postačí, bude-li návrh podepsán děkanem fakulty; souhlas koordinátorů programů uskutečňovaných na fakultě </w:t>
            </w:r>
            <w:r w:rsidR="006C5EE9" w:rsidRPr="00C66F41">
              <w:rPr>
                <w:rFonts w:ascii="Arial" w:hAnsi="Arial" w:cs="Arial"/>
                <w:sz w:val="20"/>
                <w:szCs w:val="20"/>
              </w:rPr>
              <w:t xml:space="preserve">s rozdělením finančních prostředků bude možné doložit například </w:t>
            </w:r>
            <w:r w:rsidR="00CC68CA" w:rsidRPr="00C66F41">
              <w:rPr>
                <w:rFonts w:ascii="Arial" w:hAnsi="Arial" w:cs="Arial"/>
                <w:sz w:val="20"/>
                <w:szCs w:val="20"/>
              </w:rPr>
              <w:t>přiložený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t>mi e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noBreakHyphen/>
            </w:r>
            <w:r w:rsidR="00CC68CA" w:rsidRPr="00C66F41">
              <w:rPr>
                <w:rFonts w:ascii="Arial" w:hAnsi="Arial" w:cs="Arial"/>
                <w:sz w:val="20"/>
                <w:szCs w:val="20"/>
              </w:rPr>
              <w:t>mailový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t>mi</w:t>
            </w:r>
            <w:r w:rsidR="00CC68CA" w:rsidRPr="00C66F41">
              <w:rPr>
                <w:rFonts w:ascii="Arial" w:hAnsi="Arial" w:cs="Arial"/>
                <w:sz w:val="20"/>
                <w:szCs w:val="20"/>
              </w:rPr>
              <w:t xml:space="preserve"> zpráv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t>ami</w:t>
            </w:r>
            <w:r w:rsidR="00CC68CA" w:rsidRPr="00C66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54637" w:rsidRDefault="00A54637">
      <w:pPr>
        <w:rPr>
          <w:rFonts w:ascii="Arial" w:hAnsi="Arial" w:cs="Arial"/>
          <w:sz w:val="20"/>
          <w:szCs w:val="20"/>
        </w:rPr>
      </w:pPr>
    </w:p>
    <w:p w:rsidR="00C504B8" w:rsidRDefault="00C504B8">
      <w:pPr>
        <w:rPr>
          <w:rFonts w:ascii="Arial" w:hAnsi="Arial" w:cs="Arial"/>
          <w:sz w:val="20"/>
          <w:szCs w:val="20"/>
        </w:rPr>
      </w:pPr>
    </w:p>
    <w:p w:rsidR="00C504B8" w:rsidRPr="008351CB" w:rsidRDefault="00C504B8" w:rsidP="009236C1">
      <w:pPr>
        <w:keepNext/>
        <w:rPr>
          <w:rFonts w:ascii="Arial" w:hAnsi="Arial" w:cs="Arial"/>
          <w:b/>
          <w:color w:val="000080"/>
        </w:rPr>
      </w:pPr>
      <w:r w:rsidRPr="008351CB">
        <w:rPr>
          <w:rFonts w:ascii="Arial" w:hAnsi="Arial" w:cs="Arial"/>
          <w:b/>
          <w:color w:val="000080"/>
        </w:rPr>
        <w:t>2. Průběžné (bilanční) zprávy</w:t>
      </w:r>
    </w:p>
    <w:p w:rsidR="00C504B8" w:rsidRDefault="00C504B8" w:rsidP="009236C1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3132B9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2B9" w:rsidRPr="00C66F41" w:rsidRDefault="003132B9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</w:t>
            </w:r>
            <w:r w:rsidR="008351CB" w:rsidRPr="00C66F41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2B9" w:rsidRPr="00C66F41" w:rsidRDefault="003132B9" w:rsidP="00C66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3132B9" w:rsidRPr="00C66F41" w:rsidRDefault="003132B9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3132B9" w:rsidRPr="00C66F41" w:rsidRDefault="008351CB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 xml:space="preserve">Navrhujeme, aby bylo upuštěno od zatěžující administrativy typu průběžných a bilančních zpráv v dosavadní </w:t>
            </w:r>
            <w:r w:rsidR="00CB28D6" w:rsidRPr="00C66F41">
              <w:rPr>
                <w:rFonts w:ascii="Arial" w:hAnsi="Arial" w:cs="Arial"/>
                <w:sz w:val="20"/>
                <w:szCs w:val="20"/>
                <w:u w:val="single"/>
              </w:rPr>
              <w:t>frekvenci.</w:t>
            </w:r>
            <w:r w:rsidR="00CB28D6" w:rsidRPr="00C66F41">
              <w:rPr>
                <w:rFonts w:ascii="Arial" w:hAnsi="Arial" w:cs="Arial"/>
                <w:sz w:val="20"/>
                <w:szCs w:val="20"/>
              </w:rPr>
              <w:t xml:space="preserve"> (…) Zprávy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o řešení s akcentem na výsledky (nikoli na vynaložené prostředky, na data jednání rady atd.) by byly poskytovány RUK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jednou v průběhu řešení PRVOUKu a poté v jeho závěru</w:t>
            </w:r>
            <w:r w:rsidRPr="00C66F41">
              <w:rPr>
                <w:rFonts w:ascii="Arial" w:hAnsi="Arial" w:cs="Arial"/>
                <w:sz w:val="20"/>
                <w:szCs w:val="20"/>
              </w:rPr>
              <w:t>.“</w:t>
            </w:r>
          </w:p>
        </w:tc>
        <w:tc>
          <w:tcPr>
            <w:tcW w:w="7380" w:type="dxa"/>
            <w:tcBorders>
              <w:top w:val="double" w:sz="4" w:space="0" w:color="auto"/>
              <w:right w:val="double" w:sz="4" w:space="0" w:color="auto"/>
            </w:tcBorders>
          </w:tcPr>
          <w:p w:rsidR="003132B9" w:rsidRPr="00C66F41" w:rsidRDefault="00CB28D6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Předložení stručné průběžné zprávy</w:t>
            </w:r>
            <w:r w:rsidR="008351CB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za každý rok realizace programu </w:t>
            </w:r>
            <w:r w:rsidR="008351CB" w:rsidRPr="00C66F41">
              <w:rPr>
                <w:rFonts w:ascii="Arial" w:hAnsi="Arial" w:cs="Arial"/>
                <w:sz w:val="20"/>
                <w:szCs w:val="20"/>
              </w:rPr>
              <w:t>nepokládáme za nadměrnou administrativní zátěž.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3132B9" w:rsidRPr="00C66F41" w:rsidRDefault="003132B9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840" w:type="dxa"/>
          </w:tcPr>
          <w:p w:rsidR="006C5EE9" w:rsidRPr="00C66F41" w:rsidRDefault="008351CB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bCs/>
                <w:sz w:val="20"/>
                <w:szCs w:val="20"/>
                <w:u w:val="single"/>
              </w:rPr>
              <w:t>Navrhujeme, aby nakládání s finančními prostředky zůstalo v gesci děkanů bez nutnosti každoročního vykazování.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 Nejde totiž o prostředky, které by byly fakultám přidělovány na základě grantové soutěže, nýbrž o prostředky získané předchozí vědeckou činností.“ </w:t>
            </w:r>
          </w:p>
          <w:p w:rsidR="003132B9" w:rsidRPr="00C66F41" w:rsidRDefault="008351CB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Koordinující fakulta mívá také potíže získat od spolupracujících fakult správné údaje o výši vyčerpaných finančních prostředků.</w:t>
            </w:r>
          </w:p>
        </w:tc>
        <w:tc>
          <w:tcPr>
            <w:tcW w:w="7380" w:type="dxa"/>
            <w:tcBorders>
              <w:right w:val="double" w:sz="4" w:space="0" w:color="auto"/>
            </w:tcBorders>
          </w:tcPr>
          <w:p w:rsidR="003132B9" w:rsidRPr="00C66F41" w:rsidRDefault="008351CB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V loňském ani letošním roce nebylo vykazování financí složité – v průběžné zprávě za rok 2012 měla být uvedena pouze celková výše vyčerpaných finančních prostředků a výše prostředků převedených do FÚUP (zvlášť za každou fakultu/součást); bilanční zpráva za roky 2012 a 2013 měla obsahovat přehled vynaložených finančních prostředků členěný do těchto několika kategorií: osobní náklady, stipendia, provozní náklady a služby, doplňkové a režijní náklady, investice, FÚUP, celkem (opět zvlášť za každou fakultu/součást).</w:t>
            </w:r>
          </w:p>
        </w:tc>
      </w:tr>
      <w:tr w:rsidR="00C66F41" w:rsidRPr="00C66F41" w:rsidTr="00C66F41">
        <w:tc>
          <w:tcPr>
            <w:tcW w:w="468" w:type="dxa"/>
            <w:tcBorders>
              <w:left w:val="double" w:sz="4" w:space="0" w:color="auto"/>
            </w:tcBorders>
          </w:tcPr>
          <w:p w:rsidR="003132B9" w:rsidRPr="00C66F41" w:rsidRDefault="003132B9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6840" w:type="dxa"/>
          </w:tcPr>
          <w:p w:rsidR="003132B9" w:rsidRPr="00C66F41" w:rsidRDefault="009343B7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="007C5708" w:rsidRPr="00C66F41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Pr="00C66F41">
              <w:rPr>
                <w:rFonts w:ascii="Arial" w:hAnsi="Arial" w:cs="Arial"/>
                <w:bCs/>
                <w:sz w:val="20"/>
                <w:szCs w:val="20"/>
                <w:u w:val="single"/>
              </w:rPr>
              <w:t>odnocení zpráv PRVOUK by se dalo přenést na úroveň fakult a fakulta by podávala 1x ročně stručnou celkovou zprávu na rektorát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>“.</w:t>
            </w:r>
          </w:p>
        </w:tc>
        <w:tc>
          <w:tcPr>
            <w:tcW w:w="7380" w:type="dxa"/>
            <w:tcBorders>
              <w:right w:val="double" w:sz="4" w:space="0" w:color="auto"/>
            </w:tcBorders>
          </w:tcPr>
          <w:p w:rsidR="003132B9" w:rsidRPr="00C66F41" w:rsidRDefault="005F3964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Nesouhlasíme, taková změna by byla proti smyslu programů PRVOUK. Navíc společné programy jsou společnou záležitostí několika fakult, a tudíž je logické, že výsledky programu </w:t>
            </w:r>
            <w:r w:rsidR="0022619A" w:rsidRPr="00C66F41">
              <w:rPr>
                <w:rFonts w:ascii="Arial" w:hAnsi="Arial" w:cs="Arial"/>
                <w:sz w:val="20"/>
                <w:szCs w:val="20"/>
              </w:rPr>
              <w:t>jsou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vykazovány ve zprávě týkající se tohoto programu (nikoli ve zprávě týkající se jedné z fakult). </w:t>
            </w:r>
          </w:p>
        </w:tc>
      </w:tr>
      <w:tr w:rsidR="00C66F41" w:rsidRPr="00C66F41" w:rsidTr="00C66F41">
        <w:tc>
          <w:tcPr>
            <w:tcW w:w="468" w:type="dxa"/>
            <w:tcBorders>
              <w:left w:val="double" w:sz="4" w:space="0" w:color="auto"/>
            </w:tcBorders>
          </w:tcPr>
          <w:p w:rsidR="004C5C5A" w:rsidRPr="00C66F41" w:rsidRDefault="004C5C5A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840" w:type="dxa"/>
          </w:tcPr>
          <w:p w:rsidR="004C5C5A" w:rsidRPr="00C66F41" w:rsidRDefault="007C5708" w:rsidP="00FD3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P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 xml:space="preserve">růběžná zpráva </w:t>
            </w:r>
            <w:r w:rsidRPr="00C66F41">
              <w:rPr>
                <w:rFonts w:ascii="Arial" w:hAnsi="Arial" w:cs="Arial"/>
                <w:sz w:val="20"/>
                <w:szCs w:val="20"/>
              </w:rPr>
              <w:t>by se měla vztahovat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 xml:space="preserve"> vždy jen </w:t>
            </w:r>
            <w:r w:rsidRPr="00C66F41">
              <w:rPr>
                <w:rFonts w:ascii="Arial" w:hAnsi="Arial" w:cs="Arial"/>
                <w:sz w:val="20"/>
                <w:szCs w:val="20"/>
              </w:rPr>
              <w:t>k uplynulému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C66F41">
              <w:rPr>
                <w:rFonts w:ascii="Arial" w:hAnsi="Arial" w:cs="Arial"/>
                <w:sz w:val="20"/>
                <w:szCs w:val="20"/>
              </w:rPr>
              <w:t>u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0" w:type="dxa"/>
            <w:tcBorders>
              <w:right w:val="double" w:sz="4" w:space="0" w:color="auto"/>
            </w:tcBorders>
          </w:tcPr>
          <w:p w:rsidR="004C5C5A" w:rsidRPr="00C66F41" w:rsidRDefault="00CB28D6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Souhlasíme.</w:t>
            </w:r>
          </w:p>
        </w:tc>
      </w:tr>
      <w:tr w:rsidR="00C66F41" w:rsidRPr="00C66F41" w:rsidTr="00C66F41"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4C5C5A" w:rsidRPr="00C66F41" w:rsidRDefault="004C5C5A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395652" w:rsidRPr="00C66F41" w:rsidRDefault="004C5C5A" w:rsidP="00C66F4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bCs/>
                <w:sz w:val="20"/>
                <w:szCs w:val="20"/>
                <w:u w:val="single"/>
              </w:rPr>
              <w:t>Posuzování přihlášek a průběžných zpráv není zcela transparentní. Není například známo, podle jakých kritérií jsou zprávy o plnění hodnoceny a zda se přihlíží k indikátorům, které si programy samy navrhly v části j) přihlášky.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 Protože programy FHS UK jsou do značné míry interdisciplinární, </w:t>
            </w:r>
            <w:r w:rsidRPr="00C66F41">
              <w:rPr>
                <w:rFonts w:ascii="Arial" w:hAnsi="Arial" w:cs="Arial"/>
                <w:bCs/>
                <w:sz w:val="20"/>
                <w:szCs w:val="20"/>
                <w:u w:val="single"/>
              </w:rPr>
              <w:t>uvítali bychom dále zohlednění interdisciplinární povahy programů při hodnocení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>.“</w:t>
            </w:r>
            <w:r w:rsidR="00395652" w:rsidRPr="00C66F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C5C5A" w:rsidRPr="00C66F41" w:rsidRDefault="00395652" w:rsidP="00FD3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Podobná připomínka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„</w:t>
            </w:r>
            <w:r w:rsidR="004A6447" w:rsidRPr="00C66F41">
              <w:rPr>
                <w:rFonts w:ascii="Arial" w:hAnsi="Arial" w:cs="Arial"/>
                <w:sz w:val="20"/>
                <w:szCs w:val="20"/>
                <w:u w:val="single"/>
              </w:rPr>
              <w:t>Z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a velmi potřebné bychom považovali stanovit hodnotící kritéria (např. bilančních zpráv) předem, aby jednotlivé týmy věděly včas, co se po nich v rámci biomedicíny nebo společenských věd bude požadovat</w:t>
            </w:r>
            <w:r w:rsidRPr="00C66F41">
              <w:rPr>
                <w:rFonts w:ascii="Arial" w:hAnsi="Arial" w:cs="Arial"/>
                <w:sz w:val="20"/>
                <w:szCs w:val="20"/>
              </w:rPr>
              <w:t>“.</w:t>
            </w: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F3009B" w:rsidRPr="00C66F41" w:rsidRDefault="00CB28D6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V zájmu větší transparentnosti navrhujeme zveřejnit napříště spolu s formulářem průběžné zprávy také formulář 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>oponentní</w:t>
            </w:r>
            <w:r w:rsidR="002C36BC" w:rsidRPr="00C66F41">
              <w:rPr>
                <w:rFonts w:ascii="Arial" w:hAnsi="Arial" w:cs="Arial"/>
                <w:sz w:val="20"/>
                <w:szCs w:val="20"/>
              </w:rPr>
              <w:t>ho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 xml:space="preserve"> posudk</w:t>
            </w:r>
            <w:r w:rsidR="002C36BC" w:rsidRPr="00C66F41">
              <w:rPr>
                <w:rFonts w:ascii="Arial" w:hAnsi="Arial" w:cs="Arial"/>
                <w:sz w:val="20"/>
                <w:szCs w:val="20"/>
              </w:rPr>
              <w:t>u, který obsahuje</w:t>
            </w:r>
            <w:r w:rsidR="004C5C5A" w:rsidRPr="00C66F41">
              <w:rPr>
                <w:rFonts w:ascii="Arial" w:hAnsi="Arial" w:cs="Arial"/>
                <w:sz w:val="20"/>
                <w:szCs w:val="20"/>
              </w:rPr>
              <w:t xml:space="preserve"> kritéria hodnocení. </w:t>
            </w:r>
            <w:r w:rsidR="00FE305D" w:rsidRPr="00C66F41">
              <w:rPr>
                <w:rFonts w:ascii="Arial" w:hAnsi="Arial" w:cs="Arial"/>
                <w:sz w:val="20"/>
                <w:szCs w:val="20"/>
              </w:rPr>
              <w:t>Do určité míry však záleží na každé hodnotící komisi, jaká kritéria hodnocení považuje pro danou oblast za klíčová.</w:t>
            </w:r>
          </w:p>
          <w:p w:rsidR="00CB28D6" w:rsidRPr="00C66F41" w:rsidRDefault="00CB28D6" w:rsidP="00FD3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652" w:rsidRPr="00C66F41" w:rsidRDefault="00395652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Zohlednění interdisciplinární povahy programů při hodnocení: </w:t>
            </w:r>
            <w:r w:rsidR="00D0584C" w:rsidRPr="00C66F41">
              <w:rPr>
                <w:rFonts w:ascii="Arial" w:hAnsi="Arial" w:cs="Arial"/>
                <w:sz w:val="20"/>
                <w:szCs w:val="20"/>
              </w:rPr>
              <w:t>aplikace tohoto kritéria je vhodná jen pro hodnocení některých programů.</w:t>
            </w:r>
          </w:p>
        </w:tc>
      </w:tr>
    </w:tbl>
    <w:p w:rsidR="00C504B8" w:rsidRDefault="00C504B8">
      <w:pPr>
        <w:rPr>
          <w:rFonts w:ascii="Arial" w:hAnsi="Arial" w:cs="Arial"/>
          <w:sz w:val="20"/>
          <w:szCs w:val="20"/>
        </w:rPr>
      </w:pPr>
    </w:p>
    <w:p w:rsidR="00C504B8" w:rsidRDefault="00C504B8">
      <w:pPr>
        <w:rPr>
          <w:rFonts w:ascii="Arial" w:hAnsi="Arial" w:cs="Arial"/>
          <w:sz w:val="20"/>
          <w:szCs w:val="20"/>
        </w:rPr>
      </w:pPr>
    </w:p>
    <w:p w:rsidR="002C36BC" w:rsidRPr="002C36BC" w:rsidRDefault="002C36BC" w:rsidP="00E46FA1">
      <w:pPr>
        <w:keepNext/>
        <w:rPr>
          <w:rFonts w:ascii="Arial" w:hAnsi="Arial" w:cs="Arial"/>
          <w:b/>
          <w:color w:val="000080"/>
        </w:rPr>
      </w:pPr>
      <w:r w:rsidRPr="002C36BC">
        <w:rPr>
          <w:rFonts w:ascii="Arial" w:hAnsi="Arial" w:cs="Arial"/>
          <w:b/>
          <w:color w:val="000080"/>
        </w:rPr>
        <w:t>3. Vykazování publikací</w:t>
      </w:r>
    </w:p>
    <w:p w:rsidR="002C36BC" w:rsidRDefault="002C36BC" w:rsidP="00E46FA1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2C36BC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C36BC" w:rsidRPr="00C66F41" w:rsidRDefault="002C36BC" w:rsidP="00C66F4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„Grantové pojetí PRVOUKu vyžaduje průběžné zprávy o plnění, jímž se rozumějí publikační výstupy registrované v RIV. Vykazování výstupů se ovšem jeví jako problematické.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Výstupy jsou vykazovány v OBD, takže jejich uvádění v průběžné či bilanční zprávě se jeví jako nadbytečné</w:t>
            </w:r>
            <w:r w:rsidRPr="00C66F41">
              <w:rPr>
                <w:rFonts w:ascii="Arial" w:hAnsi="Arial" w:cs="Arial"/>
                <w:sz w:val="20"/>
                <w:szCs w:val="20"/>
              </w:rPr>
              <w:t>, a to tím spíše, že ve zprávě má jít pouze o výběr. Jsou však navíc vykazovány i výstupy pro publikaci teprve připravené, přičemž není předem známo, zda vůbec v RIV budou registrovány. Výpovědní hodnota takové zprávy může pak být pro hodnocení výstupů nesměrodatná.“</w:t>
            </w:r>
          </w:p>
          <w:p w:rsidR="002C36BC" w:rsidRPr="00C66F41" w:rsidRDefault="006C5EE9" w:rsidP="002C36BC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Obdobná námitka</w:t>
            </w:r>
            <w:r w:rsidR="002C36BC" w:rsidRPr="00C66F41">
              <w:rPr>
                <w:rFonts w:ascii="Arial" w:hAnsi="Arial" w:cs="Arial"/>
                <w:sz w:val="20"/>
                <w:szCs w:val="20"/>
              </w:rPr>
              <w:t>: „</w:t>
            </w:r>
            <w:r w:rsidR="002C36BC" w:rsidRPr="00C66F41">
              <w:rPr>
                <w:rFonts w:ascii="Arial" w:hAnsi="Arial" w:cs="Arial"/>
                <w:sz w:val="20"/>
                <w:szCs w:val="20"/>
                <w:u w:val="single"/>
              </w:rPr>
              <w:t>předkládáme ke zvážení, zda by např. pro přehled vytištěných odborných titulů nestačil odkaz na OBD, kam jsou stejně pravidelně zapisovány plody naší práce</w:t>
            </w:r>
            <w:r w:rsidR="002C36BC" w:rsidRPr="00C66F41">
              <w:rPr>
                <w:rFonts w:ascii="Arial" w:hAnsi="Arial" w:cs="Arial"/>
                <w:sz w:val="20"/>
                <w:szCs w:val="20"/>
              </w:rPr>
              <w:t>“.</w:t>
            </w:r>
          </w:p>
        </w:tc>
        <w:tc>
          <w:tcPr>
            <w:tcW w:w="7380" w:type="dxa"/>
            <w:tcBorders>
              <w:top w:val="double" w:sz="4" w:space="0" w:color="auto"/>
              <w:right w:val="double" w:sz="4" w:space="0" w:color="auto"/>
            </w:tcBorders>
          </w:tcPr>
          <w:p w:rsidR="00E46FA1" w:rsidRPr="00C66F41" w:rsidRDefault="0043239E" w:rsidP="00FD33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Navrhujeme, aby napříště byly přehledy výsledků za uplynulý rok generovány z databáze OBD. Do průběžné zprávy by se uváděl pouze omezený počet </w:t>
            </w:r>
            <w:r w:rsidR="006C5EE9" w:rsidRPr="00C66F41">
              <w:rPr>
                <w:rFonts w:ascii="Arial" w:hAnsi="Arial" w:cs="Arial"/>
                <w:sz w:val="20"/>
                <w:szCs w:val="20"/>
              </w:rPr>
              <w:t xml:space="preserve">(cca 10) </w:t>
            </w:r>
            <w:r w:rsidRPr="00C66F41">
              <w:rPr>
                <w:rFonts w:ascii="Arial" w:hAnsi="Arial" w:cs="Arial"/>
                <w:sz w:val="20"/>
                <w:szCs w:val="20"/>
              </w:rPr>
              <w:t>nejvýznamnějších výsledků.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840" w:type="dxa"/>
          </w:tcPr>
          <w:p w:rsidR="002C36BC" w:rsidRPr="00C66F41" w:rsidRDefault="001078E2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RUK by měl poskytnout přesné informace, jaké publikace spadají do publikačních výsledků započítávaných pro PRVOUK</w:t>
            </w:r>
            <w:r w:rsidRPr="00C66F41">
              <w:rPr>
                <w:rFonts w:ascii="Arial" w:hAnsi="Arial" w:cs="Arial"/>
                <w:sz w:val="20"/>
                <w:szCs w:val="20"/>
              </w:rPr>
              <w:t>“.</w:t>
            </w:r>
          </w:p>
        </w:tc>
        <w:tc>
          <w:tcPr>
            <w:tcW w:w="7380" w:type="dxa"/>
            <w:tcBorders>
              <w:right w:val="double" w:sz="4" w:space="0" w:color="auto"/>
            </w:tcBorders>
          </w:tcPr>
          <w:p w:rsidR="002C36BC" w:rsidRPr="00C66F41" w:rsidRDefault="00CA0F64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Do publikačních výsledků PRVOUKu spadají všechny publikace, které byly v rámci PRVOUKu vytvořeny. Neměly by to tedy být např. publikace, které s daným </w:t>
            </w:r>
            <w:r w:rsidR="0043239E" w:rsidRPr="00C66F41">
              <w:rPr>
                <w:rFonts w:ascii="Arial" w:hAnsi="Arial" w:cs="Arial"/>
                <w:sz w:val="20"/>
                <w:szCs w:val="20"/>
              </w:rPr>
              <w:t>program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em tematicky nesouvisí. Konkrétní rozhodnutí o tom, zda publikace patří či nepatří mezi výsledky PRVOUKu, je </w:t>
            </w:r>
            <w:r w:rsidR="0043239E" w:rsidRPr="00C66F41">
              <w:rPr>
                <w:rFonts w:ascii="Arial" w:hAnsi="Arial" w:cs="Arial"/>
                <w:sz w:val="20"/>
                <w:szCs w:val="20"/>
              </w:rPr>
              <w:t>v kompetenci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koordinátora a rady </w:t>
            </w:r>
            <w:r w:rsidR="0043239E" w:rsidRPr="00C66F41">
              <w:rPr>
                <w:rFonts w:ascii="Arial" w:hAnsi="Arial" w:cs="Arial"/>
                <w:sz w:val="20"/>
                <w:szCs w:val="20"/>
              </w:rPr>
              <w:t>program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u. 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2C36BC" w:rsidRPr="00C66F41" w:rsidRDefault="004A6447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Dedikace PRVOUKu by měly být povinné</w:t>
            </w:r>
            <w:r w:rsidR="00CA0F64" w:rsidRPr="00C66F41">
              <w:rPr>
                <w:rFonts w:ascii="Arial" w:hAnsi="Arial" w:cs="Arial"/>
                <w:sz w:val="20"/>
                <w:szCs w:val="20"/>
              </w:rPr>
              <w:t xml:space="preserve"> („dochází ke zbytečným nejasnostem a konfliktům, co je nebo není vykázáno do programu za dané pracoviště a je nebo není uznáno“).</w:t>
            </w: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CA0F64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Podle platných pravidel uvádění acknowledgementu (dedikace) ve výsledcích vytvořených v rámci PRVOUK není povinné; jeho případné znění je plně v kompetenci jednotlivých fakult (jiných součástí) UK. </w:t>
            </w:r>
            <w:r w:rsidR="00C70D66" w:rsidRPr="00C66F41">
              <w:rPr>
                <w:rFonts w:ascii="Arial" w:hAnsi="Arial" w:cs="Arial"/>
                <w:sz w:val="20"/>
                <w:szCs w:val="20"/>
              </w:rPr>
              <w:t xml:space="preserve">Považujeme za vhodné toto pravidlo ponechat – dedikace PRVOUKu totiž podle našich informací může působit potíže </w:t>
            </w:r>
            <w:r w:rsidR="006C5EE9" w:rsidRPr="00C66F41">
              <w:rPr>
                <w:rFonts w:ascii="Arial" w:hAnsi="Arial" w:cs="Arial"/>
                <w:sz w:val="20"/>
                <w:szCs w:val="20"/>
              </w:rPr>
              <w:t>u</w:t>
            </w:r>
            <w:r w:rsidR="00C70D66" w:rsidRPr="00C66F41">
              <w:rPr>
                <w:rFonts w:ascii="Arial" w:hAnsi="Arial" w:cs="Arial"/>
                <w:sz w:val="20"/>
                <w:szCs w:val="20"/>
              </w:rPr>
              <w:t xml:space="preserve"> Center excelence GAČR nebo u projektů NAKI.</w:t>
            </w: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2C36BC" w:rsidRDefault="002C36BC">
      <w:pPr>
        <w:rPr>
          <w:rFonts w:ascii="Arial" w:hAnsi="Arial" w:cs="Arial"/>
          <w:sz w:val="20"/>
          <w:szCs w:val="20"/>
        </w:rPr>
      </w:pPr>
    </w:p>
    <w:p w:rsidR="00D94F3A" w:rsidRPr="00C50A14" w:rsidRDefault="00D94F3A" w:rsidP="00D94F3A">
      <w:pPr>
        <w:keepNext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4. </w:t>
      </w:r>
      <w:r w:rsidRPr="00C50A14">
        <w:rPr>
          <w:rFonts w:ascii="Arial" w:hAnsi="Arial" w:cs="Arial"/>
          <w:b/>
          <w:color w:val="000080"/>
        </w:rPr>
        <w:t>Evidence účastníků PRVOUK v systému WhoIs NT</w:t>
      </w:r>
    </w:p>
    <w:p w:rsidR="002C36BC" w:rsidRDefault="002C36BC" w:rsidP="00D94F3A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2C36BC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C36BC" w:rsidRPr="00C66F41" w:rsidRDefault="004A6447" w:rsidP="00C66F4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Navrhujeme</w:t>
            </w:r>
            <w:r w:rsidR="00D94F3A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F3A" w:rsidRPr="00C66F41">
              <w:rPr>
                <w:rFonts w:ascii="Arial" w:hAnsi="Arial" w:cs="Arial"/>
                <w:sz w:val="20"/>
                <w:szCs w:val="20"/>
                <w:u w:val="single"/>
              </w:rPr>
              <w:t>zrušení povinnosti evidovat v systému WhoIs NT pracovníky, s nimiž byla uzavřena dohoda o provedení práce překračující limit 5</w:t>
            </w:r>
            <w:r w:rsidR="006C5EE9" w:rsidRPr="00C66F4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94F3A" w:rsidRPr="00C66F41"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  <w:r w:rsidR="006C5EE9" w:rsidRPr="00C66F4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94F3A" w:rsidRPr="00C66F41">
              <w:rPr>
                <w:rFonts w:ascii="Arial" w:hAnsi="Arial" w:cs="Arial"/>
                <w:sz w:val="20"/>
                <w:szCs w:val="20"/>
                <w:u w:val="single"/>
              </w:rPr>
              <w:t>Kč za rok</w:t>
            </w:r>
            <w:r w:rsidR="00D94F3A" w:rsidRPr="00C66F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4F3A" w:rsidRPr="00C66F41" w:rsidRDefault="00D94F3A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„Poměrně náročná jsou pravidla pro evidenci účastníků programu v</w:t>
            </w:r>
            <w:r w:rsidR="006C5EE9" w:rsidRPr="00C66F4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aplikaci WhoIs. Ocenili bychom, kdyby v případě stipendií pro studenty do výše 10 000,- Kč ročně a DPP taktéž do výše 10 000,- Kč ročně nebylo nutné příslušné osoby v aplikaci WhoIs vykazovat.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7380" w:type="dxa"/>
            <w:tcBorders>
              <w:top w:val="double" w:sz="4" w:space="0" w:color="auto"/>
              <w:right w:val="double" w:sz="4" w:space="0" w:color="auto"/>
            </w:tcBorders>
          </w:tcPr>
          <w:p w:rsidR="00D94F3A" w:rsidRPr="00C66F41" w:rsidRDefault="00D94F3A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V současnosti platí, že všichni zaměstnanci a studenti UK, kteří se podílejí na realizaci PRVOUKu, musí být evidováni v systému WhoIs; výjimkou jsou pouze jednorázové dohody o provedení práce malého rozsahu (do 5 000 Kč ročně) uzavírané s externisty – u těchto dohod není evidence nutná.</w:t>
            </w:r>
            <w:r w:rsidR="006C5EE9" w:rsidRPr="00C66F41">
              <w:rPr>
                <w:rFonts w:ascii="Arial" w:hAnsi="Arial" w:cs="Arial"/>
                <w:sz w:val="20"/>
                <w:szCs w:val="20"/>
              </w:rPr>
              <w:t xml:space="preserve"> Navrhujeme rozšířit tuto výjimku na </w:t>
            </w:r>
            <w:r w:rsidR="001921B5" w:rsidRPr="00C66F41">
              <w:rPr>
                <w:rFonts w:ascii="Arial" w:hAnsi="Arial" w:cs="Arial"/>
                <w:sz w:val="20"/>
                <w:szCs w:val="20"/>
              </w:rPr>
              <w:t>DPP,</w:t>
            </w:r>
            <w:r w:rsidR="009171C8" w:rsidRPr="00C66F41">
              <w:rPr>
                <w:rFonts w:ascii="Arial" w:hAnsi="Arial" w:cs="Arial"/>
                <w:sz w:val="20"/>
                <w:szCs w:val="20"/>
              </w:rPr>
              <w:t xml:space="preserve"> DPČ</w:t>
            </w:r>
            <w:r w:rsidR="001921B5" w:rsidRPr="00C66F41">
              <w:rPr>
                <w:rFonts w:ascii="Arial" w:hAnsi="Arial" w:cs="Arial"/>
                <w:sz w:val="20"/>
                <w:szCs w:val="20"/>
              </w:rPr>
              <w:t xml:space="preserve"> a stipendia</w:t>
            </w:r>
            <w:r w:rsidR="009171C8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C8" w:rsidRPr="00C66F41">
              <w:rPr>
                <w:rFonts w:ascii="Arial" w:hAnsi="Arial" w:cs="Arial"/>
                <w:sz w:val="20"/>
                <w:szCs w:val="20"/>
                <w:u w:val="single"/>
              </w:rPr>
              <w:t>do výše 10 000 Kč ročně</w:t>
            </w:r>
            <w:r w:rsidR="009171C8" w:rsidRPr="00C66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D94F3A" w:rsidRPr="00C66F41" w:rsidRDefault="00D94F3A" w:rsidP="00C66F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bCs/>
                <w:sz w:val="20"/>
                <w:szCs w:val="20"/>
                <w:u w:val="single"/>
              </w:rPr>
              <w:t>Navrhujeme odstoupit od centrální evidence osob zapojených do řešení.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 Jejich zapojení do vědecké činnosti vyplývá z jejich vlastní registrovatelné a průkazné činnosti.“</w:t>
            </w:r>
          </w:p>
          <w:p w:rsidR="002C36BC" w:rsidRPr="00C66F41" w:rsidRDefault="002C36BC" w:rsidP="00C66F41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D94F3A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Povinnost evidovat účastníky PRVOUK vyplývá z čl. 4 odst. 6 Zásad PRVOUK: „Evidenci osob zúčastněných na programu a dalších nezbytných údajů vede fakulta (jiná součást); podrobnosti o evidování osob řešících Program upravuje příloha přihlášky.“ V části VI přílohy přihlášky je upřesněno, že </w:t>
            </w:r>
            <w:r w:rsidRPr="00C66F41">
              <w:rPr>
                <w:rFonts w:ascii="Arial" w:hAnsi="Arial" w:cs="Arial"/>
                <w:bCs/>
                <w:sz w:val="20"/>
                <w:szCs w:val="20"/>
                <w:u w:val="single"/>
              </w:rPr>
              <w:t>evidenci vede fakulta (jiná součást) „v centrální databázi osob UK „WhoIsNT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>““.</w:t>
            </w:r>
          </w:p>
          <w:p w:rsidR="00B603A9" w:rsidRPr="00C66F41" w:rsidRDefault="00C60006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Upozorňujeme, že případnou změnu přílohy přihlášky podepisují dle čl. 4 odst. 7 Zásad PRVOUK „osoby oprávněné podepsat přihlášku </w:t>
            </w:r>
            <w:r w:rsidRPr="00C66F4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(tj. koordinátor programu a děkani všech fakult /ředitelé jiných součástí/ zúčastněných na programu) 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>a schvaluje je rektor; ke schvalování některých změn může rektor děkana (ředitele) zmocnit“.</w:t>
            </w: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833558" w:rsidRDefault="00833558">
      <w:pPr>
        <w:rPr>
          <w:rFonts w:ascii="Arial" w:hAnsi="Arial" w:cs="Arial"/>
          <w:sz w:val="20"/>
          <w:szCs w:val="20"/>
        </w:rPr>
      </w:pPr>
    </w:p>
    <w:p w:rsidR="00833558" w:rsidRDefault="00833558" w:rsidP="00833558">
      <w:pPr>
        <w:keepNext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5. Změny složení řešitelských týmů</w:t>
      </w:r>
    </w:p>
    <w:p w:rsidR="002C36BC" w:rsidRDefault="002C36BC" w:rsidP="00833558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2C36BC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C36BC" w:rsidRPr="00C66F41" w:rsidRDefault="004A6447" w:rsidP="00C66F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833558" w:rsidRPr="00C66F41">
              <w:rPr>
                <w:rFonts w:ascii="Arial" w:hAnsi="Arial" w:cs="Arial"/>
                <w:bCs/>
                <w:sz w:val="20"/>
                <w:szCs w:val="20"/>
              </w:rPr>
              <w:t xml:space="preserve"> zapojení nových osob do programu je nutné jejich schválení Vědeckou radou UK, což fakulty rovněž administrativně zatěžuje.</w:t>
            </w:r>
          </w:p>
        </w:tc>
        <w:tc>
          <w:tcPr>
            <w:tcW w:w="7380" w:type="dxa"/>
            <w:tcBorders>
              <w:top w:val="double" w:sz="4" w:space="0" w:color="auto"/>
              <w:right w:val="double" w:sz="4" w:space="0" w:color="auto"/>
            </w:tcBorders>
          </w:tcPr>
          <w:p w:rsidR="002C36BC" w:rsidRPr="00C66F41" w:rsidRDefault="00833558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Toto neodpovídá skutečnosti – dle Zásad PRVOUK je schválení 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>Vědeckou radou UK nutné jen v případě změny koordinátora programu nebo v případě zásadních změn (např. zapojení většího počtu nových osob do rady programu).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2C36BC" w:rsidRPr="00C66F41" w:rsidRDefault="008E1F62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„V rámci řešitelských týmů dochází v průběhu roku k mnoha obměnám, které jsou prováděny na základě aktivity či neaktivity jednotlivých členů a rozhodnutí vedoucího úkolu nebo koordinátora.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Bylo by žádoucí stanovit alespoň rámcová pravidla (požadavky) pro zařazení do programu nebo zrušení členství v programu.</w:t>
            </w: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177367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S</w:t>
            </w:r>
            <w:r w:rsidR="00C4440D" w:rsidRPr="00C66F41">
              <w:rPr>
                <w:rFonts w:ascii="Arial" w:hAnsi="Arial" w:cs="Arial"/>
                <w:sz w:val="20"/>
                <w:szCs w:val="20"/>
              </w:rPr>
              <w:t>tanovení takovýchto pravidel</w:t>
            </w:r>
            <w:r w:rsidR="008E1F62" w:rsidRPr="00C66F41">
              <w:rPr>
                <w:rFonts w:ascii="Arial" w:hAnsi="Arial" w:cs="Arial"/>
                <w:sz w:val="20"/>
                <w:szCs w:val="20"/>
              </w:rPr>
              <w:t xml:space="preserve"> je v kompetenci rady programu.</w:t>
            </w:r>
          </w:p>
        </w:tc>
      </w:tr>
    </w:tbl>
    <w:p w:rsidR="00856971" w:rsidRDefault="00856971" w:rsidP="008E1F62">
      <w:pPr>
        <w:keepNext/>
        <w:jc w:val="both"/>
        <w:rPr>
          <w:rFonts w:ascii="Arial" w:hAnsi="Arial" w:cs="Arial"/>
          <w:b/>
          <w:color w:val="000080"/>
        </w:rPr>
      </w:pPr>
    </w:p>
    <w:p w:rsidR="00856971" w:rsidRDefault="00856971" w:rsidP="008E1F62">
      <w:pPr>
        <w:keepNext/>
        <w:jc w:val="both"/>
        <w:rPr>
          <w:rFonts w:ascii="Arial" w:hAnsi="Arial" w:cs="Arial"/>
          <w:b/>
          <w:color w:val="000080"/>
        </w:rPr>
      </w:pPr>
    </w:p>
    <w:p w:rsidR="008E1F62" w:rsidRDefault="008E1F62" w:rsidP="008E1F62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80"/>
        </w:rPr>
        <w:t>6. Jednání rad programů</w:t>
      </w:r>
    </w:p>
    <w:p w:rsidR="002C36BC" w:rsidRDefault="002C36BC" w:rsidP="008E1F62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2C36BC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C36BC" w:rsidRPr="00C66F41" w:rsidRDefault="008E1F62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„</w:t>
            </w:r>
            <w:r w:rsidR="004A6447" w:rsidRPr="00C66F41">
              <w:rPr>
                <w:rFonts w:ascii="Arial" w:hAnsi="Arial" w:cs="Arial"/>
                <w:sz w:val="20"/>
                <w:szCs w:val="20"/>
                <w:u w:val="single"/>
              </w:rPr>
              <w:t>Ú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levou by bylo zrušení povinnosti ohlašovat na rektorát termíny zasedání rad PRVOUK</w:t>
            </w:r>
            <w:r w:rsidRPr="00C66F41">
              <w:rPr>
                <w:rFonts w:ascii="Arial" w:hAnsi="Arial" w:cs="Arial"/>
                <w:sz w:val="20"/>
                <w:szCs w:val="20"/>
              </w:rPr>
              <w:t>“.</w:t>
            </w:r>
          </w:p>
        </w:tc>
        <w:tc>
          <w:tcPr>
            <w:tcW w:w="7380" w:type="dxa"/>
            <w:tcBorders>
              <w:top w:val="double" w:sz="4" w:space="0" w:color="auto"/>
              <w:right w:val="double" w:sz="4" w:space="0" w:color="auto"/>
            </w:tcBorders>
          </w:tcPr>
          <w:p w:rsidR="002C36BC" w:rsidRPr="00C66F41" w:rsidRDefault="008E1F62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Nesouhlasíme. Podle čl. 7 odst. 3 Zásad PRVOUK se jednání rady programu </w:t>
            </w:r>
            <w:r w:rsidR="00201F21" w:rsidRPr="00C66F41">
              <w:rPr>
                <w:rFonts w:ascii="Arial" w:hAnsi="Arial" w:cs="Arial"/>
                <w:sz w:val="20"/>
                <w:szCs w:val="20"/>
              </w:rPr>
              <w:t>může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účastnit „rektor a děkan participující fakulty nebo jejich zástupci anebo ředitel participující jiné součásti“. Proto požadujeme, aby nám </w:t>
            </w:r>
            <w:r w:rsidR="001333D8" w:rsidRPr="00C66F41">
              <w:rPr>
                <w:rFonts w:ascii="Arial" w:hAnsi="Arial" w:cs="Arial"/>
                <w:sz w:val="20"/>
                <w:szCs w:val="20"/>
              </w:rPr>
              <w:t xml:space="preserve">fakulty </w:t>
            </w:r>
            <w:r w:rsidRPr="00C66F41">
              <w:rPr>
                <w:rFonts w:ascii="Arial" w:hAnsi="Arial" w:cs="Arial"/>
                <w:sz w:val="20"/>
                <w:szCs w:val="20"/>
              </w:rPr>
              <w:t>dopředu sdělovaly termíny jednání rad PRVOUKů. Prorektoři se</w:t>
            </w:r>
            <w:r w:rsidR="00C4440D" w:rsidRPr="00C66F41">
              <w:rPr>
                <w:rFonts w:ascii="Arial" w:hAnsi="Arial" w:cs="Arial"/>
                <w:sz w:val="20"/>
                <w:szCs w:val="20"/>
              </w:rPr>
              <w:t xml:space="preserve"> mnohých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jednání rad skutečně účastní, což</w:t>
            </w:r>
            <w:r w:rsidR="00C60006" w:rsidRPr="00C66F41">
              <w:rPr>
                <w:rFonts w:ascii="Arial" w:hAnsi="Arial" w:cs="Arial"/>
                <w:sz w:val="20"/>
                <w:szCs w:val="20"/>
              </w:rPr>
              <w:t xml:space="preserve"> pokládáme za důležitou a oboustranně prospěšnou 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t>příležitost k setkání</w:t>
            </w:r>
            <w:r w:rsidR="00C60006" w:rsidRPr="00C66F41">
              <w:rPr>
                <w:rFonts w:ascii="Arial" w:hAnsi="Arial" w:cs="Arial"/>
                <w:sz w:val="20"/>
                <w:szCs w:val="20"/>
              </w:rPr>
              <w:t xml:space="preserve"> zástupců programu s vedením UK.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2C36BC" w:rsidRPr="00C66F41" w:rsidRDefault="001333D8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„Stávající úloha rad programů (u programů realizovaných na více fakultách) je spíše formální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– kontrola harmonogramů práce, popř. jejich úpravy, vzájemná informovanost o postupech prací na různých fakultách, příprava podkladů pro společné zprávy atd.“.</w:t>
            </w: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1333D8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Toto nelze paušálně tvrdit o všech společných programech.</w:t>
            </w:r>
          </w:p>
          <w:p w:rsidR="003246F3" w:rsidRPr="00C66F41" w:rsidRDefault="003246F3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Vzájemnou informovanost fakult o pracích realizovaných na jiných fakultách v rámci téhož programu pokládáme za důležitou.</w:t>
            </w: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1333D8" w:rsidRDefault="001333D8">
      <w:pPr>
        <w:rPr>
          <w:rFonts w:ascii="Arial" w:hAnsi="Arial" w:cs="Arial"/>
          <w:sz w:val="20"/>
          <w:szCs w:val="20"/>
        </w:rPr>
      </w:pPr>
    </w:p>
    <w:p w:rsidR="001333D8" w:rsidRPr="008B24A1" w:rsidRDefault="001333D8" w:rsidP="001333D8">
      <w:pPr>
        <w:keepNext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</w:rPr>
        <w:t xml:space="preserve">7. </w:t>
      </w:r>
      <w:r w:rsidRPr="008B24A1">
        <w:rPr>
          <w:rFonts w:ascii="Arial" w:hAnsi="Arial" w:cs="Arial"/>
          <w:b/>
          <w:color w:val="000080"/>
        </w:rPr>
        <w:t>Finance</w:t>
      </w:r>
    </w:p>
    <w:p w:rsidR="002C36BC" w:rsidRDefault="002C36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7380"/>
      </w:tblGrid>
      <w:tr w:rsidR="002C36BC" w:rsidRPr="00C66F41" w:rsidTr="00C66F41">
        <w:trPr>
          <w:tblHeader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C36BC" w:rsidRPr="00C66F41" w:rsidRDefault="001333D8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„V rámci UK by měla být rámcová shoda, jak prostředky z programu PRVOUK efektivně využívat (někde jen „spadnou do rozpočtu“, jinde jsou „do koruny“ rozdělovány na dílčí úkoly a podúkoly). (…)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Doporučovali bychom sjednotit způsob financování, tj. čerpání financí na jednotlivých fakultách podle jednotných celouniverzitních kritérií a pravidel.</w:t>
            </w:r>
            <w:r w:rsidR="001921B5"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7380" w:type="dxa"/>
            <w:tcBorders>
              <w:top w:val="double" w:sz="4" w:space="0" w:color="auto"/>
              <w:right w:val="double" w:sz="4" w:space="0" w:color="auto"/>
            </w:tcBorders>
          </w:tcPr>
          <w:p w:rsidR="002C36BC" w:rsidRPr="00C66F41" w:rsidRDefault="001333D8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Zavedení </w:t>
            </w:r>
            <w:r w:rsidR="003246F3" w:rsidRPr="00C66F41">
              <w:rPr>
                <w:rFonts w:ascii="Arial" w:hAnsi="Arial" w:cs="Arial"/>
                <w:sz w:val="20"/>
                <w:szCs w:val="20"/>
              </w:rPr>
              <w:t>přísnějších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pravidel by velmi pravděpodobně vyvolalo nevoli jiných fakult.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2C36BC" w:rsidRPr="00C66F41" w:rsidRDefault="004A6447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U</w:t>
            </w:r>
            <w:r w:rsidR="001333D8" w:rsidRPr="00C66F41">
              <w:rPr>
                <w:rFonts w:ascii="Arial" w:hAnsi="Arial" w:cs="Arial"/>
                <w:sz w:val="20"/>
                <w:szCs w:val="20"/>
              </w:rPr>
              <w:t>vítal</w:t>
            </w:r>
            <w:r w:rsidRPr="00C66F41">
              <w:rPr>
                <w:rFonts w:ascii="Arial" w:hAnsi="Arial" w:cs="Arial"/>
                <w:sz w:val="20"/>
                <w:szCs w:val="20"/>
              </w:rPr>
              <w:t>i</w:t>
            </w:r>
            <w:r w:rsidR="001333D8" w:rsidRPr="00C66F41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C66F41">
              <w:rPr>
                <w:rFonts w:ascii="Arial" w:hAnsi="Arial" w:cs="Arial"/>
                <w:sz w:val="20"/>
                <w:szCs w:val="20"/>
              </w:rPr>
              <w:t>chom</w:t>
            </w:r>
            <w:r w:rsidR="001333D8" w:rsidRPr="00C66F41">
              <w:rPr>
                <w:rFonts w:ascii="Arial" w:hAnsi="Arial" w:cs="Arial"/>
                <w:sz w:val="20"/>
                <w:szCs w:val="20"/>
              </w:rPr>
              <w:t xml:space="preserve"> zrušení povinnosti dalšího členění provozních výdajů.</w:t>
            </w:r>
          </w:p>
        </w:tc>
        <w:tc>
          <w:tcPr>
            <w:tcW w:w="738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1333D8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Žádné členění provozní výdajů 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t xml:space="preserve">nebylo </w:t>
            </w:r>
            <w:r w:rsidR="003246F3" w:rsidRPr="00C66F4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77367" w:rsidRPr="00C66F41">
              <w:rPr>
                <w:rFonts w:ascii="Arial" w:hAnsi="Arial" w:cs="Arial"/>
                <w:sz w:val="20"/>
                <w:szCs w:val="20"/>
              </w:rPr>
              <w:t xml:space="preserve">není </w:t>
            </w:r>
            <w:r w:rsidRPr="00C66F41">
              <w:rPr>
                <w:rFonts w:ascii="Arial" w:hAnsi="Arial" w:cs="Arial"/>
                <w:sz w:val="20"/>
                <w:szCs w:val="20"/>
              </w:rPr>
              <w:t>ze strany RUK požadováno.</w:t>
            </w: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1333D8" w:rsidRDefault="001333D8">
      <w:pPr>
        <w:rPr>
          <w:rFonts w:ascii="Arial" w:hAnsi="Arial" w:cs="Arial"/>
          <w:sz w:val="20"/>
          <w:szCs w:val="20"/>
        </w:rPr>
      </w:pPr>
    </w:p>
    <w:p w:rsidR="001333D8" w:rsidRDefault="001333D8" w:rsidP="00CB7453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80"/>
        </w:rPr>
        <w:t xml:space="preserve">8. </w:t>
      </w:r>
      <w:r w:rsidRPr="00C50A14">
        <w:rPr>
          <w:rFonts w:ascii="Arial" w:hAnsi="Arial" w:cs="Arial"/>
          <w:b/>
          <w:color w:val="000080"/>
        </w:rPr>
        <w:t xml:space="preserve">Možnost vyšších převodů nevyčerpaných prostředků do </w:t>
      </w:r>
      <w:r w:rsidR="00943AEF">
        <w:rPr>
          <w:rFonts w:ascii="Arial" w:hAnsi="Arial" w:cs="Arial"/>
          <w:b/>
          <w:color w:val="000080"/>
        </w:rPr>
        <w:t>fondu účelově určených prostředků (</w:t>
      </w:r>
      <w:r w:rsidRPr="00C50A14">
        <w:rPr>
          <w:rFonts w:ascii="Arial" w:hAnsi="Arial" w:cs="Arial"/>
          <w:b/>
          <w:color w:val="000080"/>
        </w:rPr>
        <w:t>FÚUP</w:t>
      </w:r>
      <w:r w:rsidR="00943AEF">
        <w:rPr>
          <w:rFonts w:ascii="Arial" w:hAnsi="Arial" w:cs="Arial"/>
          <w:b/>
          <w:color w:val="000080"/>
        </w:rPr>
        <w:t>)</w:t>
      </w:r>
    </w:p>
    <w:p w:rsidR="002C36BC" w:rsidRDefault="002C36BC" w:rsidP="00CB7453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80"/>
      </w:tblGrid>
      <w:tr w:rsidR="002C36BC" w:rsidRPr="00C66F41" w:rsidTr="00C66F41">
        <w:trPr>
          <w:tblHeader/>
        </w:trPr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1333D8" w:rsidRPr="00C66F41" w:rsidTr="00C66F41">
        <w:trPr>
          <w:cantSplit/>
        </w:trPr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33D8" w:rsidRPr="00C66F41" w:rsidRDefault="004A6447" w:rsidP="00C66F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Uvítali bychom</w:t>
            </w:r>
            <w:r w:rsidR="001333D8" w:rsidRPr="00C66F41">
              <w:rPr>
                <w:rFonts w:ascii="Arial" w:hAnsi="Arial" w:cs="Arial"/>
                <w:sz w:val="20"/>
                <w:szCs w:val="20"/>
                <w:u w:val="single"/>
              </w:rPr>
              <w:t xml:space="preserve"> možnost převodu nevyčerpaných peněžních prostředků do výše 10 % ročního rozpočtu na další rok</w:t>
            </w:r>
            <w:r w:rsidR="001333D8" w:rsidRPr="00C66F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33D8" w:rsidRPr="00C66F41" w:rsidRDefault="001333D8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Obdobná připomínka: „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Dlouhodobějšímu plánování by prospělo, kdyby obecně byla otevřena možnost převádět do FÚUP více než 4 % – např. 10 %, nebo alespoň běžně možných 5 %.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46F3" w:rsidRPr="00C66F41" w:rsidRDefault="00CA647A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Vyšší převod </w:t>
            </w:r>
            <w:r w:rsidR="007E6682" w:rsidRPr="00C66F41">
              <w:rPr>
                <w:rFonts w:ascii="Arial" w:hAnsi="Arial" w:cs="Arial"/>
                <w:sz w:val="20"/>
                <w:szCs w:val="20"/>
              </w:rPr>
              <w:t xml:space="preserve">do FÚUP 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než 5 % </w:t>
            </w:r>
            <w:r w:rsidR="007E6682" w:rsidRPr="00C66F41">
              <w:rPr>
                <w:rFonts w:ascii="Arial" w:hAnsi="Arial" w:cs="Arial"/>
                <w:sz w:val="20"/>
                <w:szCs w:val="20"/>
              </w:rPr>
              <w:t xml:space="preserve">prostředků poskytnutých v daném kalendářním roce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neumožňuje zákon o vysokých školách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(§ 18 odst. 10).</w:t>
            </w:r>
            <w:r w:rsidR="007E6682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6F3" w:rsidRPr="00C66F41" w:rsidRDefault="007E6682" w:rsidP="00C66F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V přílohách přihlášek PRVOUK je stanoveno: „N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espotřebované prostředky mohou být fakultou (jinou součástí) převedeny do fondu účelově určených prostředků k dalšímu užití v maximální výši 4 % původně přidělených prostředků. Případný vyšší převod musí být projednán nejpozději do 10. prosince běžného kalendářního roku.“ </w:t>
            </w:r>
          </w:p>
          <w:p w:rsidR="001333D8" w:rsidRPr="00C66F41" w:rsidRDefault="003246F3" w:rsidP="00C66F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Žádosti fakult o převod do FÚUP v intervalu 4–5 % přidělených prostředků se adresují ekonomickému odboru RUK; všem dosavadním žádostem fakult bylo vyhověno. (Vloni jich bylo podáno cca 5.)</w:t>
            </w: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2C36BC" w:rsidRDefault="002C36BC">
      <w:pPr>
        <w:rPr>
          <w:rFonts w:ascii="Arial" w:hAnsi="Arial" w:cs="Arial"/>
          <w:sz w:val="20"/>
          <w:szCs w:val="20"/>
        </w:rPr>
      </w:pPr>
    </w:p>
    <w:p w:rsidR="00CB7453" w:rsidRPr="001E68F0" w:rsidRDefault="00CB7453" w:rsidP="004A6447">
      <w:pPr>
        <w:keepNext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9. Kritika systému jako takového, n</w:t>
      </w:r>
      <w:r w:rsidRPr="001E68F0">
        <w:rPr>
          <w:rFonts w:ascii="Arial" w:hAnsi="Arial" w:cs="Arial"/>
          <w:b/>
          <w:color w:val="000080"/>
        </w:rPr>
        <w:t>ávrh</w:t>
      </w:r>
      <w:r>
        <w:rPr>
          <w:rFonts w:ascii="Arial" w:hAnsi="Arial" w:cs="Arial"/>
          <w:b/>
          <w:color w:val="000080"/>
        </w:rPr>
        <w:t>y</w:t>
      </w:r>
      <w:r w:rsidRPr="001E68F0">
        <w:rPr>
          <w:rFonts w:ascii="Arial" w:hAnsi="Arial" w:cs="Arial"/>
          <w:b/>
          <w:color w:val="000080"/>
        </w:rPr>
        <w:t xml:space="preserve"> na úplné zrušení PRVOUKů</w:t>
      </w:r>
    </w:p>
    <w:p w:rsidR="00CB7453" w:rsidRDefault="00CB7453" w:rsidP="004A6447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  <w:gridCol w:w="5040"/>
      </w:tblGrid>
      <w:tr w:rsidR="002C36BC" w:rsidRPr="00C66F41" w:rsidTr="00C66F41">
        <w:trPr>
          <w:cantSplit/>
          <w:tblHeader/>
        </w:trPr>
        <w:tc>
          <w:tcPr>
            <w:tcW w:w="96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9180" w:type="dxa"/>
            <w:tcBorders>
              <w:top w:val="double" w:sz="4" w:space="0" w:color="auto"/>
            </w:tcBorders>
          </w:tcPr>
          <w:p w:rsidR="002C36BC" w:rsidRPr="00C66F41" w:rsidRDefault="00CB7453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Ideální, byť zřejmě nereálné, by bylo PRVOUK nahradit prostou redistribucí prostředků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 (rozdělovat na fakulty podle metodiky téměř všechno a ne jen trochu přes polovinu).”</w:t>
            </w:r>
          </w:p>
          <w:p w:rsidR="00CB7453" w:rsidRPr="00C66F41" w:rsidRDefault="004A6447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Dále je uvedeno</w:t>
            </w:r>
            <w:r w:rsidR="00CB7453" w:rsidRPr="00C66F41">
              <w:rPr>
                <w:rFonts w:ascii="Arial" w:hAnsi="Arial" w:cs="Arial"/>
                <w:sz w:val="20"/>
                <w:szCs w:val="20"/>
              </w:rPr>
              <w:t>: „mezifakultní spolupráce na PRVOUK by se dala ošetřit mezifakultními smlouvami bez ingerence rektorátu“.</w:t>
            </w:r>
          </w:p>
        </w:tc>
        <w:tc>
          <w:tcPr>
            <w:tcW w:w="5040" w:type="dxa"/>
            <w:tcBorders>
              <w:top w:val="double" w:sz="4" w:space="0" w:color="auto"/>
              <w:right w:val="double" w:sz="4" w:space="0" w:color="auto"/>
            </w:tcBorders>
          </w:tcPr>
          <w:p w:rsidR="002C36BC" w:rsidRPr="00C66F41" w:rsidRDefault="00CB7453" w:rsidP="00C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Poměry finančních prostředků jsou ve skutečnosti jiné.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180" w:type="dxa"/>
          </w:tcPr>
          <w:p w:rsidR="002C36BC" w:rsidRPr="00C66F41" w:rsidRDefault="00CB7453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Jako děkan fakulty nepovažuji koncepci programu PRVOUK za šťastnou a v souladu s převažujícím názorem kolegia 2. LF se domnívám, že by jeho zrušení uvítala většina akademické obce.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2C36BC" w:rsidRPr="00C66F41" w:rsidRDefault="003246F3" w:rsidP="0013514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Dle loňského zjištění Odboru analýz a strategií RUK </w:t>
            </w:r>
            <w:r w:rsidR="00135140" w:rsidRPr="00C66F41">
              <w:rPr>
                <w:rFonts w:ascii="Arial" w:hAnsi="Arial" w:cs="Arial"/>
                <w:sz w:val="20"/>
                <w:szCs w:val="20"/>
              </w:rPr>
              <w:t>(</w:t>
            </w:r>
            <w:r w:rsidR="0070123C" w:rsidRPr="00C66F41">
              <w:rPr>
                <w:rFonts w:ascii="Arial" w:hAnsi="Arial" w:cs="Arial"/>
                <w:sz w:val="20"/>
                <w:szCs w:val="20"/>
              </w:rPr>
              <w:t>materiál</w:t>
            </w:r>
            <w:r w:rsidR="00135140" w:rsidRPr="00C6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140" w:rsidRPr="00C66F41">
              <w:rPr>
                <w:rFonts w:ascii="Arial" w:hAnsi="Arial" w:cs="Arial"/>
                <w:i/>
                <w:sz w:val="20"/>
                <w:szCs w:val="20"/>
              </w:rPr>
              <w:t>Hodnocení vědecké, výzkumné, vývojové a další tvůrčí činnosti Univerzity Karlovy v letech 2004–2012</w:t>
            </w:r>
            <w:r w:rsidR="00135140" w:rsidRPr="00C66F41">
              <w:rPr>
                <w:rFonts w:ascii="Arial" w:hAnsi="Arial" w:cs="Arial"/>
                <w:sz w:val="20"/>
                <w:szCs w:val="20"/>
              </w:rPr>
              <w:t>) a letošních zjištění prorektora pro tvůrčí a ediční činnost prof. Royta si většina fakult přeje zachování PRVOUKu.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180" w:type="dxa"/>
            <w:tcBorders>
              <w:bottom w:val="double" w:sz="4" w:space="0" w:color="auto"/>
            </w:tcBorders>
          </w:tcPr>
          <w:p w:rsidR="00CB7453" w:rsidRPr="00C66F41" w:rsidRDefault="00CB7453" w:rsidP="00C66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Navrhuje</w:t>
            </w:r>
            <w:r w:rsidR="00856971" w:rsidRPr="00C66F41"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 xml:space="preserve"> zrušit celý systém a přidělovat peníze fakultám přesně podle výsledků RIVu.</w:t>
            </w:r>
          </w:p>
          <w:p w:rsidR="00CB7453" w:rsidRPr="00C66F41" w:rsidRDefault="00CB7453" w:rsidP="00C66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„Pokud se vedení UK domnívá, že nějaký formální systém naroubovaný na RIV je nutný z vnějších důvodů, navrhujeme systém jedna fakulta = jeden PRVOUK; opět s výrazným omezením administrativní zátěže.“</w:t>
            </w:r>
          </w:p>
          <w:p w:rsidR="002C36BC" w:rsidRPr="00C66F41" w:rsidRDefault="00CB7453" w:rsidP="00C66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„Kategoricky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nesouhlasíme s finančním zvýhodňováním mezifakultních, resp. mezioborových projektů</w:t>
            </w:r>
            <w:r w:rsidRPr="00C66F41">
              <w:rPr>
                <w:rFonts w:ascii="Arial" w:hAnsi="Arial" w:cs="Arial"/>
                <w:sz w:val="20"/>
                <w:szCs w:val="20"/>
              </w:rPr>
              <w:t>. „Mezioborovost“ ani „mezifakultnost“ nejsou žádnou přidanou hodnotou vědeckých projektů. Důležité je porovnávání výsledků.“</w:t>
            </w:r>
          </w:p>
        </w:tc>
        <w:tc>
          <w:tcPr>
            <w:tcW w:w="504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2C36BC" w:rsidRDefault="002C36BC">
      <w:pPr>
        <w:rPr>
          <w:rFonts w:ascii="Arial" w:hAnsi="Arial" w:cs="Arial"/>
          <w:sz w:val="20"/>
          <w:szCs w:val="20"/>
        </w:rPr>
      </w:pPr>
    </w:p>
    <w:p w:rsidR="009F460E" w:rsidRPr="0062536E" w:rsidRDefault="009F460E" w:rsidP="009F460E">
      <w:pPr>
        <w:keepNext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10. </w:t>
      </w:r>
      <w:r w:rsidR="00C4440D">
        <w:rPr>
          <w:rFonts w:ascii="Arial" w:hAnsi="Arial" w:cs="Arial"/>
          <w:b/>
          <w:color w:val="000080"/>
        </w:rPr>
        <w:t>Podněty</w:t>
      </w:r>
      <w:r w:rsidRPr="0062536E">
        <w:rPr>
          <w:rFonts w:ascii="Arial" w:hAnsi="Arial" w:cs="Arial"/>
          <w:b/>
          <w:color w:val="000080"/>
        </w:rPr>
        <w:t>, kter</w:t>
      </w:r>
      <w:r w:rsidR="00C4440D">
        <w:rPr>
          <w:rFonts w:ascii="Arial" w:hAnsi="Arial" w:cs="Arial"/>
          <w:b/>
          <w:color w:val="000080"/>
        </w:rPr>
        <w:t>é</w:t>
      </w:r>
      <w:r w:rsidRPr="0062536E">
        <w:rPr>
          <w:rFonts w:ascii="Arial" w:hAnsi="Arial" w:cs="Arial"/>
          <w:b/>
          <w:color w:val="000080"/>
        </w:rPr>
        <w:t xml:space="preserve"> přímo nesouvisí s programy PRVOUK</w:t>
      </w:r>
    </w:p>
    <w:p w:rsidR="009F460E" w:rsidRDefault="009F460E" w:rsidP="009F460E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980"/>
        <w:gridCol w:w="3240"/>
      </w:tblGrid>
      <w:tr w:rsidR="002C36BC" w:rsidRPr="00C66F41" w:rsidTr="00C66F41">
        <w:trPr>
          <w:cantSplit/>
          <w:tblHeader/>
        </w:trPr>
        <w:tc>
          <w:tcPr>
            <w:tcW w:w="1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Připomínky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C6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F41">
              <w:rPr>
                <w:rFonts w:ascii="Arial" w:hAnsi="Arial" w:cs="Arial"/>
                <w:b/>
                <w:sz w:val="20"/>
                <w:szCs w:val="20"/>
              </w:rPr>
              <w:t>Komentář OVaV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980" w:type="dxa"/>
            <w:tcBorders>
              <w:top w:val="double" w:sz="4" w:space="0" w:color="auto"/>
            </w:tcBorders>
          </w:tcPr>
          <w:p w:rsidR="002C36BC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Za závažný problém pokládáme skutečnost, že nevíme předem, s jak vysokou sumou budeme moci disponovat pro PRVOUK v následujících obdobích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, ani podle jakých kritérií se přesně finanční prostředky určují.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Uvítali bychom proto, kdyby mohla být napříště finanční rozvaha zveřejněna s určitým předstihem.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2C36BC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RUK nemá možnost </w:t>
            </w:r>
            <w:r w:rsidR="00C4440D" w:rsidRPr="00C66F41">
              <w:rPr>
                <w:rFonts w:ascii="Arial" w:hAnsi="Arial" w:cs="Arial"/>
                <w:sz w:val="20"/>
                <w:szCs w:val="20"/>
              </w:rPr>
              <w:t xml:space="preserve">toto </w:t>
            </w:r>
            <w:r w:rsidRPr="00C66F41">
              <w:rPr>
                <w:rFonts w:ascii="Arial" w:hAnsi="Arial" w:cs="Arial"/>
                <w:sz w:val="20"/>
                <w:szCs w:val="20"/>
              </w:rPr>
              <w:t>ovlivnit.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980" w:type="dxa"/>
          </w:tcPr>
          <w:p w:rsidR="002C36BC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„Efektivnějšímu využití (finančních prostředků) by pomohla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rychlejší zpětnovazební informace o získaných RIVových bodech</w:t>
            </w:r>
            <w:r w:rsidRPr="00C66F41">
              <w:rPr>
                <w:rFonts w:ascii="Arial" w:hAnsi="Arial" w:cs="Arial"/>
                <w:sz w:val="20"/>
                <w:szCs w:val="20"/>
              </w:rPr>
              <w:t>. Ta by umožnila podporu produktivnějších dílčích úkolů či panelů na úkor méně produktivních oblastí. Prodleva informací v této oblasti dost zásadním způsobem ovlivňuje efektivitu programu (můžeme sice předběžně hodnotit výstupy odevzdané do OBD, ale nevíme, co bude či nebude přijato a kolik RIVových bodů co přinese).“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2C36BC" w:rsidRPr="00C66F41" w:rsidRDefault="009F460E" w:rsidP="00C66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dtto</w:t>
            </w:r>
          </w:p>
        </w:tc>
      </w:tr>
      <w:tr w:rsidR="00C66F41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980" w:type="dxa"/>
            <w:tcBorders>
              <w:bottom w:val="double" w:sz="4" w:space="0" w:color="auto"/>
            </w:tcBorders>
          </w:tcPr>
          <w:p w:rsidR="002C36BC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 xml:space="preserve">„Dovoluji si poukázat na fakt, že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velká část finančních prostředků jde na refundaci mezd a na vědu jde minimum prostředků</w:t>
            </w:r>
            <w:r w:rsidRPr="00C66F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6F41">
              <w:rPr>
                <w:rFonts w:ascii="Arial" w:hAnsi="Arial" w:cs="Arial"/>
                <w:sz w:val="20"/>
                <w:szCs w:val="20"/>
                <w:u w:val="single"/>
              </w:rPr>
              <w:t>Dále bych rád upozornil, že došlo ke zpoplatnění publikací ve většině zahraničních impaktovaných časopisů. Jedná se o další náklady na vědu a výzkum</w:t>
            </w:r>
            <w:r w:rsidRPr="00C66F41">
              <w:rPr>
                <w:rFonts w:ascii="Arial" w:hAnsi="Arial" w:cs="Arial"/>
                <w:sz w:val="20"/>
                <w:szCs w:val="20"/>
              </w:rPr>
              <w:t>“.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</w:tcPr>
          <w:p w:rsidR="002C36BC" w:rsidRPr="00C66F41" w:rsidRDefault="002C36BC" w:rsidP="00FD3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6BC" w:rsidRDefault="002C36BC">
      <w:pPr>
        <w:rPr>
          <w:rFonts w:ascii="Arial" w:hAnsi="Arial" w:cs="Arial"/>
          <w:sz w:val="20"/>
          <w:szCs w:val="20"/>
        </w:rPr>
      </w:pPr>
    </w:p>
    <w:p w:rsidR="00CB7453" w:rsidRDefault="00CB7453">
      <w:pPr>
        <w:rPr>
          <w:rFonts w:ascii="Arial" w:hAnsi="Arial" w:cs="Arial"/>
          <w:sz w:val="20"/>
          <w:szCs w:val="20"/>
        </w:rPr>
      </w:pPr>
    </w:p>
    <w:p w:rsidR="009F460E" w:rsidRDefault="009F460E" w:rsidP="00856971">
      <w:pPr>
        <w:keepNext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11. Pozitivní ohlasy</w:t>
      </w:r>
    </w:p>
    <w:p w:rsidR="009F460E" w:rsidRPr="009F460E" w:rsidRDefault="009F460E" w:rsidP="00856971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220"/>
      </w:tblGrid>
      <w:tr w:rsidR="009F460E" w:rsidRPr="00C66F41" w:rsidTr="00C66F41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4220" w:type="dxa"/>
            <w:tcBorders>
              <w:top w:val="double" w:sz="4" w:space="0" w:color="auto"/>
              <w:righ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„Celkově FHS považuje model programů PRVOUK za vyhovující. Domníváme se, že jeho náhlé ukončení by se negativně projevilo v rozvoji vědecké činnosti na </w:t>
            </w:r>
            <w:r w:rsidR="00135140" w:rsidRPr="00C66F41">
              <w:rPr>
                <w:rFonts w:ascii="Arial" w:hAnsi="Arial" w:cs="Arial"/>
                <w:bCs/>
                <w:sz w:val="20"/>
                <w:szCs w:val="20"/>
              </w:rPr>
              <w:t>UK. (…) Finanční</w:t>
            </w:r>
            <w:r w:rsidRPr="00C66F41">
              <w:rPr>
                <w:rFonts w:ascii="Arial" w:hAnsi="Arial" w:cs="Arial"/>
                <w:bCs/>
                <w:sz w:val="20"/>
                <w:szCs w:val="20"/>
              </w:rPr>
              <w:t xml:space="preserve"> výkaznictví programů PRVOUK považujeme za bezproblémové.“</w:t>
            </w:r>
          </w:p>
        </w:tc>
      </w:tr>
      <w:tr w:rsidR="009F460E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4220" w:type="dxa"/>
            <w:tcBorders>
              <w:right w:val="double" w:sz="4" w:space="0" w:color="auto"/>
            </w:tcBorders>
          </w:tcPr>
          <w:p w:rsidR="009F460E" w:rsidRPr="00C66F41" w:rsidRDefault="00135140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„V</w:t>
            </w:r>
            <w:r w:rsidR="009F460E" w:rsidRPr="00C66F41">
              <w:rPr>
                <w:rFonts w:ascii="Arial" w:hAnsi="Arial" w:cs="Arial"/>
                <w:sz w:val="20"/>
                <w:szCs w:val="20"/>
              </w:rPr>
              <w:t>e srovnání s jinými grantovými agenturami je administrativa programu PRVOUK podstatně méně náročná</w:t>
            </w:r>
            <w:r w:rsidR="00201F21" w:rsidRPr="00C66F41">
              <w:rPr>
                <w:rFonts w:ascii="Arial" w:hAnsi="Arial" w:cs="Arial"/>
                <w:sz w:val="20"/>
                <w:szCs w:val="20"/>
              </w:rPr>
              <w:t>.</w:t>
            </w:r>
            <w:r w:rsidR="009F460E"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9F460E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4220" w:type="dxa"/>
            <w:tcBorders>
              <w:righ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="00135140" w:rsidRPr="00C66F41">
              <w:rPr>
                <w:rFonts w:ascii="Arial" w:hAnsi="Arial" w:cs="Arial"/>
                <w:sz w:val="20"/>
                <w:szCs w:val="20"/>
              </w:rPr>
              <w:t>A</w:t>
            </w:r>
            <w:r w:rsidRPr="00C66F41">
              <w:rPr>
                <w:rFonts w:ascii="Arial" w:hAnsi="Arial" w:cs="Arial"/>
                <w:sz w:val="20"/>
                <w:szCs w:val="20"/>
              </w:rPr>
              <w:t>dministrativní zátěž spojená s PRVOUKem pro nás není příliš velká, ale je to dáno především tím, že náš tým není příliš početný</w:t>
            </w:r>
            <w:r w:rsidR="00201F21" w:rsidRPr="00C66F41">
              <w:rPr>
                <w:rFonts w:ascii="Arial" w:hAnsi="Arial" w:cs="Arial"/>
                <w:sz w:val="20"/>
                <w:szCs w:val="20"/>
              </w:rPr>
              <w:t>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9F460E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4220" w:type="dxa"/>
            <w:tcBorders>
              <w:righ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</w:t>
            </w:r>
            <w:r w:rsidR="00135140" w:rsidRPr="00C66F41">
              <w:rPr>
                <w:rFonts w:ascii="Arial" w:hAnsi="Arial" w:cs="Arial"/>
                <w:sz w:val="20"/>
                <w:szCs w:val="20"/>
              </w:rPr>
              <w:t>Ž</w:t>
            </w:r>
            <w:r w:rsidRPr="00C66F41">
              <w:rPr>
                <w:rFonts w:ascii="Arial" w:hAnsi="Arial" w:cs="Arial"/>
                <w:sz w:val="20"/>
                <w:szCs w:val="20"/>
              </w:rPr>
              <w:t>ádné konkrétní návrhy na snížení administrativy programu PRVOUK nemáme, větší část administrativní zátěže leží – řekl bych – na děkanátu</w:t>
            </w:r>
            <w:r w:rsidR="00201F21" w:rsidRPr="00C66F41">
              <w:rPr>
                <w:rFonts w:ascii="Arial" w:hAnsi="Arial" w:cs="Arial"/>
                <w:sz w:val="20"/>
                <w:szCs w:val="20"/>
              </w:rPr>
              <w:t>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9F460E" w:rsidRPr="00C66F41" w:rsidTr="00C66F41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4220" w:type="dxa"/>
            <w:tcBorders>
              <w:bottom w:val="double" w:sz="4" w:space="0" w:color="auto"/>
              <w:right w:val="double" w:sz="4" w:space="0" w:color="auto"/>
            </w:tcBorders>
          </w:tcPr>
          <w:p w:rsidR="009F460E" w:rsidRPr="00C66F41" w:rsidRDefault="009F460E" w:rsidP="00FD3320">
            <w:pPr>
              <w:rPr>
                <w:rFonts w:ascii="Arial" w:hAnsi="Arial" w:cs="Arial"/>
                <w:sz w:val="20"/>
                <w:szCs w:val="20"/>
              </w:rPr>
            </w:pPr>
            <w:r w:rsidRPr="00C66F41">
              <w:rPr>
                <w:rFonts w:ascii="Arial" w:hAnsi="Arial" w:cs="Arial"/>
                <w:sz w:val="20"/>
                <w:szCs w:val="20"/>
              </w:rPr>
              <w:t>„Co se týče snahy minimalizovat administrativní zátěž, zcela se s tímto ztotožňuji. Na druhou stranu chápu, že průběžné či bilanční zprávy jsou nutné pro posouzení programu</w:t>
            </w:r>
            <w:r w:rsidR="00201F21" w:rsidRPr="00C66F41">
              <w:rPr>
                <w:rFonts w:ascii="Arial" w:hAnsi="Arial" w:cs="Arial"/>
                <w:sz w:val="20"/>
                <w:szCs w:val="20"/>
              </w:rPr>
              <w:t>.</w:t>
            </w:r>
            <w:r w:rsidRPr="00C66F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C504B8" w:rsidRPr="00C504B8" w:rsidRDefault="00C504B8">
      <w:pPr>
        <w:rPr>
          <w:rFonts w:ascii="Arial" w:hAnsi="Arial" w:cs="Arial"/>
          <w:sz w:val="20"/>
          <w:szCs w:val="20"/>
        </w:rPr>
      </w:pPr>
    </w:p>
    <w:sectPr w:rsidR="00C504B8" w:rsidRPr="00C504B8" w:rsidSect="00C504B8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7E" w:rsidRDefault="00F7187E">
      <w:r>
        <w:separator/>
      </w:r>
    </w:p>
  </w:endnote>
  <w:endnote w:type="continuationSeparator" w:id="0">
    <w:p w:rsidR="00F7187E" w:rsidRDefault="00F7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3" w:rsidRDefault="00892398" w:rsidP="009171C8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4C39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923" w:rsidRDefault="004C3923" w:rsidP="00E46FA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3" w:rsidRPr="009171C8" w:rsidRDefault="00892398" w:rsidP="009171C8">
    <w:pPr>
      <w:pStyle w:val="Zpat"/>
      <w:framePr w:wrap="around" w:vAnchor="text" w:hAnchor="margin" w:xAlign="outside" w:y="1"/>
      <w:rPr>
        <w:rStyle w:val="slostrnky"/>
        <w:rFonts w:ascii="Arial" w:hAnsi="Arial" w:cs="Arial"/>
        <w:sz w:val="20"/>
        <w:szCs w:val="20"/>
      </w:rPr>
    </w:pPr>
    <w:r w:rsidRPr="009171C8">
      <w:rPr>
        <w:rStyle w:val="slostrnky"/>
        <w:rFonts w:ascii="Arial" w:hAnsi="Arial" w:cs="Arial"/>
        <w:sz w:val="20"/>
        <w:szCs w:val="20"/>
      </w:rPr>
      <w:fldChar w:fldCharType="begin"/>
    </w:r>
    <w:r w:rsidR="004C3923" w:rsidRPr="009171C8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9171C8">
      <w:rPr>
        <w:rStyle w:val="slostrnky"/>
        <w:rFonts w:ascii="Arial" w:hAnsi="Arial" w:cs="Arial"/>
        <w:sz w:val="20"/>
        <w:szCs w:val="20"/>
      </w:rPr>
      <w:fldChar w:fldCharType="separate"/>
    </w:r>
    <w:r w:rsidR="00654C36">
      <w:rPr>
        <w:rStyle w:val="slostrnky"/>
        <w:rFonts w:ascii="Arial" w:hAnsi="Arial" w:cs="Arial"/>
        <w:noProof/>
        <w:sz w:val="20"/>
        <w:szCs w:val="20"/>
      </w:rPr>
      <w:t>1</w:t>
    </w:r>
    <w:r w:rsidRPr="009171C8">
      <w:rPr>
        <w:rStyle w:val="slostrnky"/>
        <w:rFonts w:ascii="Arial" w:hAnsi="Arial" w:cs="Arial"/>
        <w:sz w:val="20"/>
        <w:szCs w:val="20"/>
      </w:rPr>
      <w:fldChar w:fldCharType="end"/>
    </w:r>
  </w:p>
  <w:p w:rsidR="004C3923" w:rsidRDefault="004C3923" w:rsidP="00E46FA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7E" w:rsidRDefault="00F7187E">
      <w:r>
        <w:separator/>
      </w:r>
    </w:p>
  </w:footnote>
  <w:footnote w:type="continuationSeparator" w:id="0">
    <w:p w:rsidR="00F7187E" w:rsidRDefault="00F7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043"/>
    <w:multiLevelType w:val="hybridMultilevel"/>
    <w:tmpl w:val="013EF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637"/>
    <w:rsid w:val="000038BD"/>
    <w:rsid w:val="00041093"/>
    <w:rsid w:val="00077740"/>
    <w:rsid w:val="000A3012"/>
    <w:rsid w:val="00104F9C"/>
    <w:rsid w:val="001078E2"/>
    <w:rsid w:val="001333D8"/>
    <w:rsid w:val="00135140"/>
    <w:rsid w:val="00152648"/>
    <w:rsid w:val="00177367"/>
    <w:rsid w:val="00177C31"/>
    <w:rsid w:val="001921B5"/>
    <w:rsid w:val="00201F21"/>
    <w:rsid w:val="0022619A"/>
    <w:rsid w:val="002C36BC"/>
    <w:rsid w:val="003132B9"/>
    <w:rsid w:val="003246F3"/>
    <w:rsid w:val="00395652"/>
    <w:rsid w:val="003A19AC"/>
    <w:rsid w:val="004019AF"/>
    <w:rsid w:val="0043239E"/>
    <w:rsid w:val="00471631"/>
    <w:rsid w:val="004A6447"/>
    <w:rsid w:val="004C3923"/>
    <w:rsid w:val="004C5C5A"/>
    <w:rsid w:val="00546400"/>
    <w:rsid w:val="0055367D"/>
    <w:rsid w:val="00593F76"/>
    <w:rsid w:val="005F3964"/>
    <w:rsid w:val="00611F41"/>
    <w:rsid w:val="006255F8"/>
    <w:rsid w:val="00635ACE"/>
    <w:rsid w:val="006459EB"/>
    <w:rsid w:val="00654C36"/>
    <w:rsid w:val="006C5EE9"/>
    <w:rsid w:val="0070123C"/>
    <w:rsid w:val="00793068"/>
    <w:rsid w:val="007C5708"/>
    <w:rsid w:val="007E6682"/>
    <w:rsid w:val="007F60BC"/>
    <w:rsid w:val="00833558"/>
    <w:rsid w:val="008351CB"/>
    <w:rsid w:val="00856971"/>
    <w:rsid w:val="00892398"/>
    <w:rsid w:val="008B512D"/>
    <w:rsid w:val="008E1F62"/>
    <w:rsid w:val="009171C8"/>
    <w:rsid w:val="009236C1"/>
    <w:rsid w:val="009343B7"/>
    <w:rsid w:val="00943AEF"/>
    <w:rsid w:val="009555BB"/>
    <w:rsid w:val="009832CF"/>
    <w:rsid w:val="00994629"/>
    <w:rsid w:val="00994898"/>
    <w:rsid w:val="009F460E"/>
    <w:rsid w:val="00A133AC"/>
    <w:rsid w:val="00A254DF"/>
    <w:rsid w:val="00A40FF9"/>
    <w:rsid w:val="00A54637"/>
    <w:rsid w:val="00B32D00"/>
    <w:rsid w:val="00B344D1"/>
    <w:rsid w:val="00B47855"/>
    <w:rsid w:val="00B50C14"/>
    <w:rsid w:val="00B603A9"/>
    <w:rsid w:val="00BC5CDF"/>
    <w:rsid w:val="00C02424"/>
    <w:rsid w:val="00C3705D"/>
    <w:rsid w:val="00C4440D"/>
    <w:rsid w:val="00C504B8"/>
    <w:rsid w:val="00C60006"/>
    <w:rsid w:val="00C66F41"/>
    <w:rsid w:val="00C70D66"/>
    <w:rsid w:val="00CA0F64"/>
    <w:rsid w:val="00CA647A"/>
    <w:rsid w:val="00CB28D6"/>
    <w:rsid w:val="00CB7453"/>
    <w:rsid w:val="00CC68CA"/>
    <w:rsid w:val="00CD1B80"/>
    <w:rsid w:val="00CE043B"/>
    <w:rsid w:val="00D0584C"/>
    <w:rsid w:val="00D07A78"/>
    <w:rsid w:val="00D709EF"/>
    <w:rsid w:val="00D94F3A"/>
    <w:rsid w:val="00DA138D"/>
    <w:rsid w:val="00DC346C"/>
    <w:rsid w:val="00DF23CB"/>
    <w:rsid w:val="00DF2ED0"/>
    <w:rsid w:val="00E04162"/>
    <w:rsid w:val="00E07326"/>
    <w:rsid w:val="00E46FA1"/>
    <w:rsid w:val="00E92245"/>
    <w:rsid w:val="00F3009B"/>
    <w:rsid w:val="00F7187E"/>
    <w:rsid w:val="00F81875"/>
    <w:rsid w:val="00FD3320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2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46F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6FA1"/>
  </w:style>
  <w:style w:type="character" w:styleId="Hypertextovodkaz">
    <w:name w:val="Hyperlink"/>
    <w:basedOn w:val="Standardnpsmoodstavce"/>
    <w:rsid w:val="00D94F3A"/>
    <w:rPr>
      <w:color w:val="0000FF"/>
      <w:u w:val="single"/>
    </w:rPr>
  </w:style>
  <w:style w:type="paragraph" w:styleId="Zhlav">
    <w:name w:val="header"/>
    <w:basedOn w:val="Normln"/>
    <w:rsid w:val="009171C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D1B8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D1B80"/>
    <w:rPr>
      <w:vertAlign w:val="superscript"/>
    </w:rPr>
  </w:style>
  <w:style w:type="paragraph" w:styleId="Textbubliny">
    <w:name w:val="Balloon Text"/>
    <w:basedOn w:val="Normln"/>
    <w:semiHidden/>
    <w:rsid w:val="00994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D91AB598.dotm</Template>
  <TotalTime>0</TotalTime>
  <Pages>4</Pages>
  <Words>2249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Vypořádání návrhů na zjednodušení administrativy Programů rozvoje vědních oblastí na UK (PRVOUK)</vt:lpstr>
    </vt:vector>
  </TitlesOfParts>
  <Company>Univerzita Karlova v Praze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Vypořádání návrhů na zjednodušení administrativy Programů rozvoje vědních oblastí na UK (PRVOUK)</dc:title>
  <dc:creator>zichova</dc:creator>
  <cp:lastModifiedBy>install</cp:lastModifiedBy>
  <cp:revision>2</cp:revision>
  <cp:lastPrinted>2014-05-21T07:23:00Z</cp:lastPrinted>
  <dcterms:created xsi:type="dcterms:W3CDTF">2014-12-18T10:49:00Z</dcterms:created>
  <dcterms:modified xsi:type="dcterms:W3CDTF">2014-12-18T10:49:00Z</dcterms:modified>
</cp:coreProperties>
</file>